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71E42F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C311B2" w:rsidRPr="00C311B2">
        <w:rPr>
          <w:sz w:val="32"/>
          <w:szCs w:val="32"/>
        </w:rPr>
        <w:t>R1-1807427</w:t>
      </w:r>
      <w:bookmarkStart w:id="0" w:name="_GoBack"/>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6D597D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76478">
        <w:rPr>
          <w:sz w:val="22"/>
          <w:lang w:val="sv-FI"/>
        </w:rPr>
        <w:t>6.2.5.1.2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560EB9D" w:rsidR="00E90E49" w:rsidRPr="00CE0424" w:rsidRDefault="003D3C45" w:rsidP="00311702">
      <w:pPr>
        <w:pStyle w:val="3GPPHeader"/>
        <w:rPr>
          <w:sz w:val="22"/>
        </w:rPr>
      </w:pPr>
      <w:r>
        <w:rPr>
          <w:sz w:val="22"/>
        </w:rPr>
        <w:t>Title:</w:t>
      </w:r>
      <w:r w:rsidR="00E90E49" w:rsidRPr="00CE0424">
        <w:rPr>
          <w:sz w:val="22"/>
        </w:rPr>
        <w:tab/>
      </w:r>
      <w:r w:rsidR="00DF1B01">
        <w:rPr>
          <w:sz w:val="22"/>
        </w:rPr>
        <w:t xml:space="preserve">Summary of </w:t>
      </w:r>
      <w:r w:rsidR="00CD00A8">
        <w:rPr>
          <w:sz w:val="22"/>
        </w:rPr>
        <w:t>s</w:t>
      </w:r>
      <w:r w:rsidR="007D5D06" w:rsidRPr="007D5D06">
        <w:rPr>
          <w:sz w:val="22"/>
        </w:rPr>
        <w:t>ynchronization for PC5 CA</w:t>
      </w:r>
    </w:p>
    <w:p w14:paraId="58D4CB54" w14:textId="77777777" w:rsidR="00E90E49" w:rsidRPr="00CE0424" w:rsidRDefault="00E90E49" w:rsidP="00D546FF">
      <w:pPr>
        <w:pStyle w:val="3GPPHeader"/>
        <w:rPr>
          <w:sz w:val="22"/>
        </w:rPr>
      </w:pPr>
      <w:r w:rsidRPr="00CE0424">
        <w:rPr>
          <w:sz w:val="22"/>
        </w:rPr>
        <w:t>Document for:</w:t>
      </w:r>
      <w:r w:rsidRPr="00CE0424">
        <w:rPr>
          <w:sz w:val="22"/>
        </w:rPr>
        <w:tab/>
      </w:r>
      <w:r w:rsidRPr="007D5D06">
        <w:rPr>
          <w:sz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6A7ACFD" w14:textId="330B0734" w:rsidR="00C7577F" w:rsidRDefault="00C7577F" w:rsidP="00CE0424">
      <w:pPr>
        <w:pStyle w:val="BodyText"/>
      </w:pPr>
      <w:r>
        <w:t>In this document, we summarize the issues on synchronization identified in:</w:t>
      </w:r>
    </w:p>
    <w:tbl>
      <w:tblPr>
        <w:tblW w:w="7847" w:type="dxa"/>
        <w:jc w:val="center"/>
        <w:tblLook w:val="04A0" w:firstRow="1" w:lastRow="0" w:firstColumn="1" w:lastColumn="0" w:noHBand="0" w:noVBand="1"/>
      </w:tblPr>
      <w:tblGrid>
        <w:gridCol w:w="1107"/>
        <w:gridCol w:w="3840"/>
        <w:gridCol w:w="1480"/>
        <w:gridCol w:w="1420"/>
      </w:tblGrid>
      <w:tr w:rsidR="00C7577F" w:rsidRPr="00C7577F" w14:paraId="63C66292" w14:textId="77777777" w:rsidTr="00C7577F">
        <w:trPr>
          <w:trHeight w:val="450"/>
          <w:jc w:val="center"/>
        </w:trPr>
        <w:tc>
          <w:tcPr>
            <w:tcW w:w="1107" w:type="dxa"/>
            <w:tcBorders>
              <w:top w:val="single" w:sz="4" w:space="0" w:color="A6A6A6"/>
              <w:left w:val="single" w:sz="4" w:space="0" w:color="A6A6A6"/>
              <w:bottom w:val="single" w:sz="4" w:space="0" w:color="A6A6A6"/>
              <w:right w:val="single" w:sz="4" w:space="0" w:color="A6A6A6"/>
            </w:tcBorders>
            <w:shd w:val="clear" w:color="auto" w:fill="auto"/>
            <w:hideMark/>
          </w:tcPr>
          <w:p w14:paraId="6A2A38E4"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7" w:history="1">
              <w:r w:rsidR="00C7577F" w:rsidRPr="00C7577F">
                <w:rPr>
                  <w:rFonts w:ascii="Arial" w:eastAsia="Times New Roman" w:hAnsi="Arial" w:cs="Arial"/>
                  <w:b/>
                  <w:bCs/>
                  <w:color w:val="0000FF"/>
                  <w:sz w:val="16"/>
                  <w:szCs w:val="16"/>
                  <w:u w:val="single"/>
                </w:rPr>
                <w:t>R1-1806146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D5729E"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On Synchronization Aspects for PC5 CA</w:t>
            </w:r>
          </w:p>
        </w:tc>
        <w:tc>
          <w:tcPr>
            <w:tcW w:w="1480" w:type="dxa"/>
            <w:tcBorders>
              <w:top w:val="single" w:sz="4" w:space="0" w:color="A6A6A6"/>
              <w:left w:val="nil"/>
              <w:bottom w:val="single" w:sz="4" w:space="0" w:color="A6A6A6"/>
              <w:right w:val="single" w:sz="4" w:space="0" w:color="A6A6A6"/>
            </w:tcBorders>
            <w:shd w:val="clear" w:color="auto" w:fill="auto"/>
            <w:hideMark/>
          </w:tcPr>
          <w:p w14:paraId="479B17E6"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Ericsson</w:t>
            </w:r>
          </w:p>
        </w:tc>
        <w:tc>
          <w:tcPr>
            <w:tcW w:w="1420" w:type="dxa"/>
            <w:tcBorders>
              <w:top w:val="single" w:sz="4" w:space="0" w:color="A6A6A6"/>
              <w:left w:val="nil"/>
              <w:bottom w:val="single" w:sz="4" w:space="0" w:color="A6A6A6"/>
              <w:right w:val="single" w:sz="4" w:space="0" w:color="A6A6A6"/>
            </w:tcBorders>
            <w:shd w:val="clear" w:color="auto" w:fill="auto"/>
            <w:hideMark/>
          </w:tcPr>
          <w:p w14:paraId="598BD064"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350298FA"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4CC05780"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8" w:history="1">
              <w:r w:rsidR="00C7577F" w:rsidRPr="00C7577F">
                <w:rPr>
                  <w:rFonts w:ascii="Arial" w:eastAsia="Times New Roman" w:hAnsi="Arial" w:cs="Arial"/>
                  <w:b/>
                  <w:bCs/>
                  <w:color w:val="0000FF"/>
                  <w:sz w:val="16"/>
                  <w:szCs w:val="16"/>
                  <w:u w:val="single"/>
                </w:rPr>
                <w:t>R1-1806263</w:t>
              </w:r>
            </w:hyperlink>
          </w:p>
        </w:tc>
        <w:tc>
          <w:tcPr>
            <w:tcW w:w="3840" w:type="dxa"/>
            <w:tcBorders>
              <w:top w:val="nil"/>
              <w:left w:val="nil"/>
              <w:bottom w:val="single" w:sz="4" w:space="0" w:color="A6A6A6"/>
              <w:right w:val="single" w:sz="4" w:space="0" w:color="A6A6A6"/>
            </w:tcBorders>
            <w:shd w:val="clear" w:color="auto" w:fill="auto"/>
            <w:hideMark/>
          </w:tcPr>
          <w:p w14:paraId="09E9A8E3"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Remaining details on synchronization for carrier aggregation in V2X Phase 2</w:t>
            </w:r>
          </w:p>
        </w:tc>
        <w:tc>
          <w:tcPr>
            <w:tcW w:w="1480" w:type="dxa"/>
            <w:tcBorders>
              <w:top w:val="nil"/>
              <w:left w:val="nil"/>
              <w:bottom w:val="single" w:sz="4" w:space="0" w:color="A6A6A6"/>
              <w:right w:val="single" w:sz="4" w:space="0" w:color="A6A6A6"/>
            </w:tcBorders>
            <w:shd w:val="clear" w:color="auto" w:fill="auto"/>
            <w:hideMark/>
          </w:tcPr>
          <w:p w14:paraId="6400C8B5"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CATT</w:t>
            </w:r>
          </w:p>
        </w:tc>
        <w:tc>
          <w:tcPr>
            <w:tcW w:w="1420" w:type="dxa"/>
            <w:tcBorders>
              <w:top w:val="nil"/>
              <w:left w:val="nil"/>
              <w:bottom w:val="single" w:sz="4" w:space="0" w:color="A6A6A6"/>
              <w:right w:val="single" w:sz="4" w:space="0" w:color="A6A6A6"/>
            </w:tcBorders>
            <w:shd w:val="clear" w:color="auto" w:fill="auto"/>
            <w:hideMark/>
          </w:tcPr>
          <w:p w14:paraId="00B4D957"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7CA887BB"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3FB37567"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9" w:history="1">
              <w:r w:rsidR="00C7577F" w:rsidRPr="00C7577F">
                <w:rPr>
                  <w:rFonts w:ascii="Arial" w:eastAsia="Times New Roman" w:hAnsi="Arial" w:cs="Arial"/>
                  <w:b/>
                  <w:bCs/>
                  <w:color w:val="0000FF"/>
                  <w:sz w:val="16"/>
                  <w:szCs w:val="16"/>
                  <w:u w:val="single"/>
                </w:rPr>
                <w:t>R1-1806482</w:t>
              </w:r>
            </w:hyperlink>
          </w:p>
        </w:tc>
        <w:tc>
          <w:tcPr>
            <w:tcW w:w="3840" w:type="dxa"/>
            <w:tcBorders>
              <w:top w:val="nil"/>
              <w:left w:val="nil"/>
              <w:bottom w:val="single" w:sz="4" w:space="0" w:color="A6A6A6"/>
              <w:right w:val="single" w:sz="4" w:space="0" w:color="A6A6A6"/>
            </w:tcBorders>
            <w:shd w:val="clear" w:color="auto" w:fill="auto"/>
            <w:hideMark/>
          </w:tcPr>
          <w:p w14:paraId="62ABD9CE"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Remaining sidelink synchronization details for LTE V2V carrier aggregation</w:t>
            </w:r>
          </w:p>
        </w:tc>
        <w:tc>
          <w:tcPr>
            <w:tcW w:w="1480" w:type="dxa"/>
            <w:tcBorders>
              <w:top w:val="nil"/>
              <w:left w:val="nil"/>
              <w:bottom w:val="single" w:sz="4" w:space="0" w:color="A6A6A6"/>
              <w:right w:val="single" w:sz="4" w:space="0" w:color="A6A6A6"/>
            </w:tcBorders>
            <w:shd w:val="clear" w:color="auto" w:fill="auto"/>
            <w:hideMark/>
          </w:tcPr>
          <w:p w14:paraId="75CF8CD9"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Intel Corporation</w:t>
            </w:r>
          </w:p>
        </w:tc>
        <w:tc>
          <w:tcPr>
            <w:tcW w:w="1420" w:type="dxa"/>
            <w:tcBorders>
              <w:top w:val="nil"/>
              <w:left w:val="nil"/>
              <w:bottom w:val="single" w:sz="4" w:space="0" w:color="A6A6A6"/>
              <w:right w:val="single" w:sz="4" w:space="0" w:color="A6A6A6"/>
            </w:tcBorders>
            <w:shd w:val="clear" w:color="auto" w:fill="auto"/>
            <w:hideMark/>
          </w:tcPr>
          <w:p w14:paraId="485B9679"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535914AA"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686C00B9"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10" w:history="1">
              <w:r w:rsidR="00C7577F" w:rsidRPr="00C7577F">
                <w:rPr>
                  <w:rFonts w:ascii="Arial" w:eastAsia="Times New Roman" w:hAnsi="Arial" w:cs="Arial"/>
                  <w:b/>
                  <w:bCs/>
                  <w:color w:val="0000FF"/>
                  <w:sz w:val="16"/>
                  <w:szCs w:val="16"/>
                  <w:u w:val="single"/>
                </w:rPr>
                <w:t>R1-1806582</w:t>
              </w:r>
            </w:hyperlink>
          </w:p>
        </w:tc>
        <w:tc>
          <w:tcPr>
            <w:tcW w:w="3840" w:type="dxa"/>
            <w:tcBorders>
              <w:top w:val="nil"/>
              <w:left w:val="nil"/>
              <w:bottom w:val="single" w:sz="4" w:space="0" w:color="A6A6A6"/>
              <w:right w:val="single" w:sz="4" w:space="0" w:color="A6A6A6"/>
            </w:tcBorders>
            <w:shd w:val="clear" w:color="auto" w:fill="auto"/>
            <w:hideMark/>
          </w:tcPr>
          <w:p w14:paraId="1264B9B6"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Remaining issues on synchronization for sidelink CA</w:t>
            </w:r>
          </w:p>
        </w:tc>
        <w:tc>
          <w:tcPr>
            <w:tcW w:w="1480" w:type="dxa"/>
            <w:tcBorders>
              <w:top w:val="nil"/>
              <w:left w:val="nil"/>
              <w:bottom w:val="single" w:sz="4" w:space="0" w:color="A6A6A6"/>
              <w:right w:val="single" w:sz="4" w:space="0" w:color="A6A6A6"/>
            </w:tcBorders>
            <w:shd w:val="clear" w:color="auto" w:fill="auto"/>
            <w:hideMark/>
          </w:tcPr>
          <w:p w14:paraId="3D35424D"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LG Electronics</w:t>
            </w:r>
          </w:p>
        </w:tc>
        <w:tc>
          <w:tcPr>
            <w:tcW w:w="1420" w:type="dxa"/>
            <w:tcBorders>
              <w:top w:val="nil"/>
              <w:left w:val="nil"/>
              <w:bottom w:val="single" w:sz="4" w:space="0" w:color="A6A6A6"/>
              <w:right w:val="single" w:sz="4" w:space="0" w:color="A6A6A6"/>
            </w:tcBorders>
            <w:shd w:val="clear" w:color="auto" w:fill="auto"/>
            <w:hideMark/>
          </w:tcPr>
          <w:p w14:paraId="74AE0740"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79123F2F"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1B7AA5B0"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11" w:history="1">
              <w:r w:rsidR="00C7577F" w:rsidRPr="00C7577F">
                <w:rPr>
                  <w:rFonts w:ascii="Arial" w:eastAsia="Times New Roman" w:hAnsi="Arial" w:cs="Arial"/>
                  <w:b/>
                  <w:bCs/>
                  <w:color w:val="0000FF"/>
                  <w:sz w:val="16"/>
                  <w:szCs w:val="16"/>
                  <w:u w:val="single"/>
                </w:rPr>
                <w:t>R1-1806678</w:t>
              </w:r>
            </w:hyperlink>
          </w:p>
        </w:tc>
        <w:tc>
          <w:tcPr>
            <w:tcW w:w="3840" w:type="dxa"/>
            <w:tcBorders>
              <w:top w:val="nil"/>
              <w:left w:val="nil"/>
              <w:bottom w:val="single" w:sz="4" w:space="0" w:color="A6A6A6"/>
              <w:right w:val="single" w:sz="4" w:space="0" w:color="A6A6A6"/>
            </w:tcBorders>
            <w:shd w:val="clear" w:color="auto" w:fill="auto"/>
            <w:hideMark/>
          </w:tcPr>
          <w:p w14:paraId="4B3301F1"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Synchronization in V2X CA</w:t>
            </w:r>
          </w:p>
        </w:tc>
        <w:tc>
          <w:tcPr>
            <w:tcW w:w="1480" w:type="dxa"/>
            <w:tcBorders>
              <w:top w:val="nil"/>
              <w:left w:val="nil"/>
              <w:bottom w:val="single" w:sz="4" w:space="0" w:color="A6A6A6"/>
              <w:right w:val="single" w:sz="4" w:space="0" w:color="A6A6A6"/>
            </w:tcBorders>
            <w:shd w:val="clear" w:color="auto" w:fill="auto"/>
            <w:hideMark/>
          </w:tcPr>
          <w:p w14:paraId="7EDE4C72"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Samsung</w:t>
            </w:r>
          </w:p>
        </w:tc>
        <w:tc>
          <w:tcPr>
            <w:tcW w:w="1420" w:type="dxa"/>
            <w:tcBorders>
              <w:top w:val="nil"/>
              <w:left w:val="nil"/>
              <w:bottom w:val="single" w:sz="4" w:space="0" w:color="A6A6A6"/>
              <w:right w:val="single" w:sz="4" w:space="0" w:color="A6A6A6"/>
            </w:tcBorders>
            <w:shd w:val="clear" w:color="auto" w:fill="auto"/>
            <w:hideMark/>
          </w:tcPr>
          <w:p w14:paraId="2B5F10BF"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71FC8253"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4C0ED912"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12" w:history="1">
              <w:r w:rsidR="00C7577F" w:rsidRPr="00C7577F">
                <w:rPr>
                  <w:rFonts w:ascii="Arial" w:eastAsia="Times New Roman" w:hAnsi="Arial" w:cs="Arial"/>
                  <w:b/>
                  <w:bCs/>
                  <w:color w:val="0000FF"/>
                  <w:sz w:val="16"/>
                  <w:szCs w:val="16"/>
                  <w:u w:val="single"/>
                </w:rPr>
                <w:t>R1-1806817</w:t>
              </w:r>
            </w:hyperlink>
          </w:p>
        </w:tc>
        <w:tc>
          <w:tcPr>
            <w:tcW w:w="3840" w:type="dxa"/>
            <w:tcBorders>
              <w:top w:val="nil"/>
              <w:left w:val="nil"/>
              <w:bottom w:val="single" w:sz="4" w:space="0" w:color="A6A6A6"/>
              <w:right w:val="single" w:sz="4" w:space="0" w:color="A6A6A6"/>
            </w:tcBorders>
            <w:shd w:val="clear" w:color="auto" w:fill="auto"/>
            <w:hideMark/>
          </w:tcPr>
          <w:p w14:paraId="70AA7010"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Remaining Issues on Synchronization for Sidelink Carrier Aggregation in V2X Phase 2</w:t>
            </w:r>
          </w:p>
        </w:tc>
        <w:tc>
          <w:tcPr>
            <w:tcW w:w="1480" w:type="dxa"/>
            <w:tcBorders>
              <w:top w:val="nil"/>
              <w:left w:val="nil"/>
              <w:bottom w:val="single" w:sz="4" w:space="0" w:color="A6A6A6"/>
              <w:right w:val="single" w:sz="4" w:space="0" w:color="A6A6A6"/>
            </w:tcBorders>
            <w:shd w:val="clear" w:color="auto" w:fill="auto"/>
            <w:hideMark/>
          </w:tcPr>
          <w:p w14:paraId="5599FE90"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ITRI</w:t>
            </w:r>
          </w:p>
        </w:tc>
        <w:tc>
          <w:tcPr>
            <w:tcW w:w="1420" w:type="dxa"/>
            <w:tcBorders>
              <w:top w:val="nil"/>
              <w:left w:val="nil"/>
              <w:bottom w:val="single" w:sz="4" w:space="0" w:color="A6A6A6"/>
              <w:right w:val="single" w:sz="4" w:space="0" w:color="A6A6A6"/>
            </w:tcBorders>
            <w:shd w:val="clear" w:color="auto" w:fill="auto"/>
            <w:hideMark/>
          </w:tcPr>
          <w:p w14:paraId="3D15376F"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2AD54507"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7F20A4A8"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13" w:history="1">
              <w:r w:rsidR="00C7577F" w:rsidRPr="00C7577F">
                <w:rPr>
                  <w:rFonts w:ascii="Arial" w:eastAsia="Times New Roman" w:hAnsi="Arial" w:cs="Arial"/>
                  <w:b/>
                  <w:bCs/>
                  <w:color w:val="0000FF"/>
                  <w:sz w:val="16"/>
                  <w:szCs w:val="16"/>
                  <w:u w:val="single"/>
                </w:rPr>
                <w:t>R1-1806995</w:t>
              </w:r>
            </w:hyperlink>
          </w:p>
        </w:tc>
        <w:tc>
          <w:tcPr>
            <w:tcW w:w="3840" w:type="dxa"/>
            <w:tcBorders>
              <w:top w:val="nil"/>
              <w:left w:val="nil"/>
              <w:bottom w:val="single" w:sz="4" w:space="0" w:color="A6A6A6"/>
              <w:right w:val="single" w:sz="4" w:space="0" w:color="A6A6A6"/>
            </w:tcBorders>
            <w:shd w:val="clear" w:color="auto" w:fill="auto"/>
            <w:hideMark/>
          </w:tcPr>
          <w:p w14:paraId="2259C0A3"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Remaining details of SL CA synchronization</w:t>
            </w:r>
          </w:p>
        </w:tc>
        <w:tc>
          <w:tcPr>
            <w:tcW w:w="1480" w:type="dxa"/>
            <w:tcBorders>
              <w:top w:val="nil"/>
              <w:left w:val="nil"/>
              <w:bottom w:val="single" w:sz="4" w:space="0" w:color="A6A6A6"/>
              <w:right w:val="single" w:sz="4" w:space="0" w:color="A6A6A6"/>
            </w:tcBorders>
            <w:shd w:val="clear" w:color="auto" w:fill="auto"/>
            <w:hideMark/>
          </w:tcPr>
          <w:p w14:paraId="683FED93"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Nokia, Nokia Shanghai Bell</w:t>
            </w:r>
          </w:p>
        </w:tc>
        <w:tc>
          <w:tcPr>
            <w:tcW w:w="1420" w:type="dxa"/>
            <w:tcBorders>
              <w:top w:val="nil"/>
              <w:left w:val="nil"/>
              <w:bottom w:val="single" w:sz="4" w:space="0" w:color="A6A6A6"/>
              <w:right w:val="single" w:sz="4" w:space="0" w:color="A6A6A6"/>
            </w:tcBorders>
            <w:shd w:val="clear" w:color="auto" w:fill="auto"/>
            <w:hideMark/>
          </w:tcPr>
          <w:p w14:paraId="172613E0"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r w:rsidR="00C7577F" w:rsidRPr="00C7577F" w14:paraId="01B93949" w14:textId="77777777" w:rsidTr="00C7577F">
        <w:trPr>
          <w:trHeight w:val="450"/>
          <w:jc w:val="center"/>
        </w:trPr>
        <w:tc>
          <w:tcPr>
            <w:tcW w:w="1107" w:type="dxa"/>
            <w:tcBorders>
              <w:top w:val="nil"/>
              <w:left w:val="single" w:sz="4" w:space="0" w:color="A6A6A6"/>
              <w:bottom w:val="single" w:sz="4" w:space="0" w:color="A6A6A6"/>
              <w:right w:val="single" w:sz="4" w:space="0" w:color="A6A6A6"/>
            </w:tcBorders>
            <w:shd w:val="clear" w:color="auto" w:fill="auto"/>
            <w:hideMark/>
          </w:tcPr>
          <w:p w14:paraId="52C5F06A" w14:textId="77777777" w:rsidR="00C7577F" w:rsidRPr="00C7577F" w:rsidRDefault="00A440C1" w:rsidP="00C7577F">
            <w:pPr>
              <w:spacing w:after="0" w:line="240" w:lineRule="auto"/>
              <w:rPr>
                <w:rFonts w:ascii="Arial" w:eastAsia="Times New Roman" w:hAnsi="Arial" w:cs="Arial"/>
                <w:b/>
                <w:bCs/>
                <w:color w:val="0000FF"/>
                <w:sz w:val="16"/>
                <w:szCs w:val="16"/>
                <w:u w:val="single"/>
              </w:rPr>
            </w:pPr>
            <w:hyperlink r:id="rId14" w:history="1">
              <w:r w:rsidR="00C7577F" w:rsidRPr="00C7577F">
                <w:rPr>
                  <w:rFonts w:ascii="Arial" w:eastAsia="Times New Roman" w:hAnsi="Arial" w:cs="Arial"/>
                  <w:b/>
                  <w:bCs/>
                  <w:color w:val="0000FF"/>
                  <w:sz w:val="16"/>
                  <w:szCs w:val="16"/>
                  <w:u w:val="single"/>
                </w:rPr>
                <w:t>R1-1807272</w:t>
              </w:r>
            </w:hyperlink>
          </w:p>
        </w:tc>
        <w:tc>
          <w:tcPr>
            <w:tcW w:w="3840" w:type="dxa"/>
            <w:tcBorders>
              <w:top w:val="nil"/>
              <w:left w:val="nil"/>
              <w:bottom w:val="single" w:sz="4" w:space="0" w:color="A6A6A6"/>
              <w:right w:val="single" w:sz="4" w:space="0" w:color="A6A6A6"/>
            </w:tcBorders>
            <w:shd w:val="clear" w:color="auto" w:fill="auto"/>
            <w:hideMark/>
          </w:tcPr>
          <w:p w14:paraId="0EA4E84E"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Remaining details on synchronization for CA in V2X Phase 2</w:t>
            </w:r>
          </w:p>
        </w:tc>
        <w:tc>
          <w:tcPr>
            <w:tcW w:w="1480" w:type="dxa"/>
            <w:tcBorders>
              <w:top w:val="nil"/>
              <w:left w:val="nil"/>
              <w:bottom w:val="single" w:sz="4" w:space="0" w:color="A6A6A6"/>
              <w:right w:val="single" w:sz="4" w:space="0" w:color="A6A6A6"/>
            </w:tcBorders>
            <w:shd w:val="clear" w:color="auto" w:fill="auto"/>
            <w:hideMark/>
          </w:tcPr>
          <w:p w14:paraId="6770AAFC"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ITL</w:t>
            </w:r>
          </w:p>
        </w:tc>
        <w:tc>
          <w:tcPr>
            <w:tcW w:w="1420" w:type="dxa"/>
            <w:tcBorders>
              <w:top w:val="nil"/>
              <w:left w:val="nil"/>
              <w:bottom w:val="single" w:sz="4" w:space="0" w:color="A6A6A6"/>
              <w:right w:val="single" w:sz="4" w:space="0" w:color="A6A6A6"/>
            </w:tcBorders>
            <w:shd w:val="clear" w:color="auto" w:fill="auto"/>
            <w:hideMark/>
          </w:tcPr>
          <w:p w14:paraId="6DE83EAC" w14:textId="77777777" w:rsidR="00C7577F" w:rsidRPr="00C7577F" w:rsidRDefault="00C7577F" w:rsidP="00C7577F">
            <w:pPr>
              <w:spacing w:after="0" w:line="240" w:lineRule="auto"/>
              <w:rPr>
                <w:rFonts w:ascii="Arial" w:eastAsia="Times New Roman" w:hAnsi="Arial" w:cs="Arial"/>
                <w:sz w:val="16"/>
                <w:szCs w:val="16"/>
              </w:rPr>
            </w:pPr>
            <w:r w:rsidRPr="00C7577F">
              <w:rPr>
                <w:rFonts w:ascii="Arial" w:eastAsia="Times New Roman" w:hAnsi="Arial" w:cs="Arial"/>
                <w:sz w:val="16"/>
                <w:szCs w:val="16"/>
              </w:rPr>
              <w:t>6.2.5.1.2</w:t>
            </w:r>
          </w:p>
        </w:tc>
      </w:tr>
    </w:tbl>
    <w:p w14:paraId="4920337A" w14:textId="6AF7A954" w:rsidR="00C7577F" w:rsidRDefault="00CF772E" w:rsidP="00D84C12">
      <w:pPr>
        <w:pStyle w:val="BodyText"/>
        <w:spacing w:before="240" w:after="0"/>
      </w:pPr>
      <w:r>
        <w:t>The following issues are fundamental and/or appear in multiple contributions:</w:t>
      </w:r>
    </w:p>
    <w:p w14:paraId="3A27F799" w14:textId="4E749E7A" w:rsidR="00CF772E" w:rsidRDefault="00CF772E" w:rsidP="00D84C12">
      <w:pPr>
        <w:pStyle w:val="BodyText"/>
        <w:numPr>
          <w:ilvl w:val="0"/>
          <w:numId w:val="36"/>
        </w:numPr>
        <w:spacing w:before="240" w:after="0"/>
      </w:pPr>
      <w:r>
        <w:t>Issue 1: contents of PSBCH, including value of the reserved bits.</w:t>
      </w:r>
    </w:p>
    <w:p w14:paraId="6AF09F3C" w14:textId="537AC2A5" w:rsidR="00CF772E" w:rsidRDefault="00CF772E" w:rsidP="00D84C12">
      <w:pPr>
        <w:pStyle w:val="BodyText"/>
        <w:numPr>
          <w:ilvl w:val="0"/>
          <w:numId w:val="36"/>
        </w:numPr>
        <w:spacing w:after="0"/>
      </w:pPr>
      <w:r>
        <w:t xml:space="preserve">Issue 2: </w:t>
      </w:r>
      <w:r w:rsidRPr="00CF772E">
        <w:t xml:space="preserve">Selection of carrier for transmission of SLSS/PSBCH </w:t>
      </w:r>
      <w:r>
        <w:t>when using</w:t>
      </w:r>
      <w:r w:rsidRPr="00CF772E">
        <w:t xml:space="preserve"> Option 1</w:t>
      </w:r>
      <w:r>
        <w:t>.</w:t>
      </w:r>
    </w:p>
    <w:p w14:paraId="54148790" w14:textId="4B0A9C78" w:rsidR="00CF772E" w:rsidRDefault="00CF772E" w:rsidP="00D84C12">
      <w:pPr>
        <w:pStyle w:val="BodyText"/>
        <w:numPr>
          <w:ilvl w:val="0"/>
          <w:numId w:val="36"/>
        </w:numPr>
        <w:spacing w:after="0"/>
      </w:pPr>
      <w:r>
        <w:t xml:space="preserve">Issue 3: </w:t>
      </w:r>
      <w:r w:rsidRPr="00CF772E">
        <w:t>Relationship to transmission of PSCCH/PSSCH</w:t>
      </w:r>
    </w:p>
    <w:p w14:paraId="71218E8B" w14:textId="3CA16224" w:rsidR="00CF772E" w:rsidRDefault="00CF772E" w:rsidP="00D84C12">
      <w:pPr>
        <w:pStyle w:val="BodyText"/>
        <w:numPr>
          <w:ilvl w:val="0"/>
          <w:numId w:val="36"/>
        </w:numPr>
      </w:pPr>
      <w:r>
        <w:t xml:space="preserve">Issue 4: </w:t>
      </w:r>
      <w:r w:rsidRPr="00CF772E">
        <w:t xml:space="preserve">Selection </w:t>
      </w:r>
      <w:r>
        <w:t xml:space="preserve">of synchronization reference </w:t>
      </w:r>
      <w:r w:rsidRPr="00CF772E">
        <w:t>among sources with the same priority</w:t>
      </w:r>
      <w:r w:rsidR="00D84C12">
        <w:t>.</w:t>
      </w:r>
    </w:p>
    <w:p w14:paraId="163EE01D" w14:textId="317C511F" w:rsidR="00D84C12" w:rsidRDefault="00D84C12" w:rsidP="00D84C12">
      <w:pPr>
        <w:pStyle w:val="BodyText"/>
      </w:pPr>
      <w:r>
        <w:t>In addition, we note that some contributions discuss other issues which have either been discussed in the past (with or without conclusion), are already captured in the agreements, or are identified by a single company. We have not included them here to keep the summary reasonable.</w:t>
      </w:r>
    </w:p>
    <w:p w14:paraId="020415C4" w14:textId="38158FF1" w:rsidR="004000E8" w:rsidRDefault="00230D18" w:rsidP="00CE0424">
      <w:pPr>
        <w:pStyle w:val="Heading1"/>
      </w:pPr>
      <w:bookmarkStart w:id="1" w:name="_Ref178064866"/>
      <w:r>
        <w:t>2</w:t>
      </w:r>
      <w:r>
        <w:tab/>
      </w:r>
      <w:bookmarkEnd w:id="1"/>
      <w:r w:rsidR="00DB6AC4">
        <w:t>Contents of</w:t>
      </w:r>
      <w:r w:rsidR="00A50775">
        <w:t xml:space="preserve"> PSBCH</w:t>
      </w:r>
    </w:p>
    <w:p w14:paraId="04CDA576" w14:textId="0282252A" w:rsidR="00293B81" w:rsidRDefault="00C7577F" w:rsidP="00293B81">
      <w:pPr>
        <w:rPr>
          <w:rFonts w:ascii="Arial" w:hAnsi="Arial" w:cs="Arial"/>
        </w:rPr>
      </w:pPr>
      <w:r>
        <w:rPr>
          <w:rFonts w:ascii="Arial" w:hAnsi="Arial" w:cs="Arial"/>
        </w:rPr>
        <w:t>The first issue is related to the contents of PSBCH. Currently, we have the following agreement:</w:t>
      </w:r>
    </w:p>
    <w:tbl>
      <w:tblPr>
        <w:tblStyle w:val="TableGrid"/>
        <w:tblW w:w="0" w:type="auto"/>
        <w:tblLook w:val="04A0" w:firstRow="1" w:lastRow="0" w:firstColumn="1" w:lastColumn="0" w:noHBand="0" w:noVBand="1"/>
      </w:tblPr>
      <w:tblGrid>
        <w:gridCol w:w="9629"/>
      </w:tblGrid>
      <w:tr w:rsidR="00C7577F" w14:paraId="46D4D0A8" w14:textId="77777777" w:rsidTr="00D80B9C">
        <w:tc>
          <w:tcPr>
            <w:tcW w:w="9629" w:type="dxa"/>
          </w:tcPr>
          <w:p w14:paraId="68385404" w14:textId="77777777" w:rsidR="00C7577F" w:rsidRPr="00F04C25" w:rsidRDefault="00C7577F" w:rsidP="00D80B9C">
            <w:pPr>
              <w:spacing w:before="240"/>
              <w:rPr>
                <w:b/>
              </w:rPr>
            </w:pPr>
            <w:r w:rsidRPr="00F04C25">
              <w:rPr>
                <w:b/>
                <w:highlight w:val="green"/>
              </w:rPr>
              <w:t>Agreement</w:t>
            </w:r>
          </w:p>
          <w:p w14:paraId="53FC121E" w14:textId="77777777" w:rsidR="00C7577F" w:rsidRPr="007C4F39" w:rsidRDefault="00C7577F" w:rsidP="00D80B9C">
            <w:pPr>
              <w:numPr>
                <w:ilvl w:val="0"/>
                <w:numId w:val="24"/>
              </w:numPr>
            </w:pPr>
            <w:r w:rsidRPr="007C4F39">
              <w:lastRenderedPageBreak/>
              <w:t>PSBCH content other than bandwidth, TDD configuration, reserved bits are generated following the Rel. 14 procedure following the selected synchronization reference.</w:t>
            </w:r>
          </w:p>
          <w:p w14:paraId="084FDB9F" w14:textId="77777777" w:rsidR="00C7577F" w:rsidRPr="007C4F39" w:rsidRDefault="00C7577F" w:rsidP="00D80B9C">
            <w:pPr>
              <w:numPr>
                <w:ilvl w:val="1"/>
                <w:numId w:val="24"/>
              </w:numPr>
            </w:pPr>
            <w:r w:rsidRPr="007C4F39">
              <w:t>Note if there is an issue with reserved bits, it will be addressed in RAN1#93</w:t>
            </w:r>
          </w:p>
          <w:p w14:paraId="7AA92A9D" w14:textId="77777777" w:rsidR="00C7577F" w:rsidRPr="007C4F39" w:rsidRDefault="00C7577F" w:rsidP="00D80B9C">
            <w:pPr>
              <w:numPr>
                <w:ilvl w:val="0"/>
                <w:numId w:val="24"/>
              </w:numPr>
            </w:pPr>
            <w:r w:rsidRPr="007C4F39">
              <w:t>SLSS ID is derived from the selected synchronization source.</w:t>
            </w:r>
          </w:p>
        </w:tc>
      </w:tr>
    </w:tbl>
    <w:p w14:paraId="59FC55BD" w14:textId="5D794BB4" w:rsidR="00E72871" w:rsidRPr="00293B81" w:rsidRDefault="00E72871" w:rsidP="00D817CD">
      <w:pPr>
        <w:pStyle w:val="Proposal"/>
        <w:spacing w:before="240"/>
        <w:rPr>
          <w:rFonts w:cs="Arial"/>
        </w:rPr>
      </w:pPr>
      <w:bookmarkStart w:id="2" w:name="_Toc514673094"/>
      <w:r w:rsidRPr="00E72871">
        <w:lastRenderedPageBreak/>
        <w:t xml:space="preserve">BW and TDD </w:t>
      </w:r>
      <w:r w:rsidR="00061153">
        <w:t xml:space="preserve">configuration and reserved bits </w:t>
      </w:r>
      <w:r w:rsidRPr="00E72871">
        <w:t>are derived from CC where PSBCH and SLSS are transmitted.</w:t>
      </w:r>
      <w:bookmarkEnd w:id="2"/>
      <w:r w:rsidRPr="00293B81">
        <w:rPr>
          <w:rFonts w:cs="Arial"/>
        </w:rPr>
        <w:t xml:space="preserve"> </w:t>
      </w:r>
    </w:p>
    <w:p w14:paraId="72CC89C4" w14:textId="3E5FFCB9" w:rsidR="007A3F19" w:rsidRDefault="00D83FDC" w:rsidP="00D83FDC">
      <w:pPr>
        <w:pStyle w:val="Heading1"/>
      </w:pPr>
      <w:r>
        <w:t>3</w:t>
      </w:r>
      <w:r>
        <w:tab/>
      </w:r>
      <w:r w:rsidR="00235744">
        <w:t>Selection of carrier for transmission of SLSS/PSBCH</w:t>
      </w:r>
    </w:p>
    <w:p w14:paraId="2CFB9A4E" w14:textId="3CA9347B" w:rsidR="00B63831" w:rsidRDefault="00B63831" w:rsidP="00B63831">
      <w:pPr>
        <w:pStyle w:val="Heading2"/>
      </w:pPr>
      <w:r>
        <w:t>3.1</w:t>
      </w:r>
      <w:r>
        <w:tab/>
      </w:r>
      <w:r w:rsidRPr="00B63831">
        <w:t xml:space="preserve">Selection of carrier for transmission of SLSS/PSBCH </w:t>
      </w:r>
      <w:r>
        <w:t>for Option 1</w:t>
      </w:r>
    </w:p>
    <w:p w14:paraId="036F2AD0" w14:textId="564EED8A" w:rsidR="00235744" w:rsidRDefault="00235744" w:rsidP="00235744">
      <w:pPr>
        <w:rPr>
          <w:rFonts w:ascii="Arial" w:hAnsi="Arial" w:cs="Arial"/>
          <w:lang w:val="en-GB" w:eastAsia="ja-JP"/>
        </w:rPr>
      </w:pPr>
      <w:r w:rsidRPr="00235744">
        <w:rPr>
          <w:rFonts w:ascii="Arial" w:hAnsi="Arial" w:cs="Arial"/>
          <w:lang w:val="en-GB" w:eastAsia="ja-JP"/>
        </w:rPr>
        <w:t>This issue is related</w:t>
      </w:r>
      <w:r>
        <w:rPr>
          <w:rFonts w:ascii="Arial" w:hAnsi="Arial" w:cs="Arial"/>
          <w:lang w:val="en-GB" w:eastAsia="ja-JP"/>
        </w:rPr>
        <w:t xml:space="preserve"> to the selection of a carrier for transmission of SLSS/PSBCH. Currently, we have the following agreement:</w:t>
      </w:r>
    </w:p>
    <w:tbl>
      <w:tblPr>
        <w:tblStyle w:val="TableGrid"/>
        <w:tblW w:w="0" w:type="auto"/>
        <w:tblLook w:val="04A0" w:firstRow="1" w:lastRow="0" w:firstColumn="1" w:lastColumn="0" w:noHBand="0" w:noVBand="1"/>
      </w:tblPr>
      <w:tblGrid>
        <w:gridCol w:w="9629"/>
      </w:tblGrid>
      <w:tr w:rsidR="00235744" w14:paraId="408D5C71" w14:textId="77777777" w:rsidTr="00235744">
        <w:tc>
          <w:tcPr>
            <w:tcW w:w="9629" w:type="dxa"/>
          </w:tcPr>
          <w:p w14:paraId="0A203BC9" w14:textId="77777777" w:rsidR="00235744" w:rsidRPr="00235744" w:rsidRDefault="00235744" w:rsidP="00235744">
            <w:pPr>
              <w:spacing w:before="240"/>
              <w:rPr>
                <w:b/>
              </w:rPr>
            </w:pPr>
            <w:r w:rsidRPr="00235744">
              <w:rPr>
                <w:b/>
                <w:highlight w:val="green"/>
              </w:rPr>
              <w:t>Agreement</w:t>
            </w:r>
          </w:p>
          <w:p w14:paraId="11A2549B" w14:textId="77777777" w:rsidR="00235744" w:rsidRPr="00D139B8" w:rsidRDefault="00235744" w:rsidP="00235744">
            <w:r w:rsidRPr="00D139B8">
              <w:t>The working assumption from RAN1#92 is confirmed with following corrections</w:t>
            </w:r>
          </w:p>
          <w:p w14:paraId="1B9475D5" w14:textId="77777777" w:rsidR="00235744" w:rsidRPr="00D139B8" w:rsidRDefault="00235744" w:rsidP="00235744">
            <w:pPr>
              <w:numPr>
                <w:ilvl w:val="0"/>
                <w:numId w:val="25"/>
              </w:numPr>
              <w:spacing w:after="0" w:line="240" w:lineRule="auto"/>
            </w:pPr>
            <w:bookmarkStart w:id="3" w:name="_Hlk511807879"/>
            <w:r w:rsidRPr="00D139B8">
              <w:t>The UE is configured one of the following options based on UE capability:</w:t>
            </w:r>
          </w:p>
          <w:p w14:paraId="297936B6" w14:textId="77777777" w:rsidR="00235744" w:rsidRPr="00D139B8" w:rsidRDefault="00235744" w:rsidP="00235744">
            <w:pPr>
              <w:numPr>
                <w:ilvl w:val="1"/>
                <w:numId w:val="26"/>
              </w:numPr>
              <w:spacing w:after="0" w:line="240" w:lineRule="auto"/>
            </w:pPr>
            <w:r w:rsidRPr="00D139B8">
              <w:t>SLSS is transmitted (based on Rel-14 procedure) on selected sync carrier from Set-B</w:t>
            </w:r>
          </w:p>
          <w:p w14:paraId="2A349ECA" w14:textId="77777777" w:rsidR="00235744" w:rsidRPr="00D139B8" w:rsidRDefault="00235744" w:rsidP="00235744">
            <w:pPr>
              <w:numPr>
                <w:ilvl w:val="1"/>
                <w:numId w:val="26"/>
              </w:numPr>
              <w:spacing w:after="0" w:line="240" w:lineRule="auto"/>
            </w:pPr>
            <w:r w:rsidRPr="00D139B8">
              <w:t>SLSS is transmitted on all carriers from Set-B</w:t>
            </w:r>
          </w:p>
          <w:bookmarkEnd w:id="3"/>
          <w:p w14:paraId="3FBC677A" w14:textId="77777777" w:rsidR="00235744" w:rsidRPr="00D139B8" w:rsidRDefault="00235744" w:rsidP="00235744">
            <w:pPr>
              <w:numPr>
                <w:ilvl w:val="0"/>
                <w:numId w:val="25"/>
              </w:numPr>
              <w:spacing w:after="0" w:line="240" w:lineRule="auto"/>
            </w:pPr>
            <w:r w:rsidRPr="00D139B8">
              <w:t xml:space="preserve">Each option is an independent UE capability </w:t>
            </w:r>
          </w:p>
          <w:p w14:paraId="28041B05" w14:textId="7DED5601" w:rsidR="00235744" w:rsidRPr="00235744" w:rsidRDefault="00235744" w:rsidP="00235744">
            <w:pPr>
              <w:numPr>
                <w:ilvl w:val="0"/>
                <w:numId w:val="25"/>
              </w:numPr>
              <w:spacing w:line="240" w:lineRule="auto"/>
            </w:pPr>
            <w:r w:rsidRPr="00D139B8">
              <w:t>On top of this, Release-14 configuration applies to each carrier individually</w:t>
            </w:r>
          </w:p>
        </w:tc>
      </w:tr>
    </w:tbl>
    <w:p w14:paraId="4B431808" w14:textId="7F978A10" w:rsidR="00235744" w:rsidRPr="00235744" w:rsidRDefault="00235744" w:rsidP="00235744">
      <w:pPr>
        <w:spacing w:before="240"/>
        <w:rPr>
          <w:rFonts w:ascii="Arial" w:hAnsi="Arial" w:cs="Arial"/>
          <w:lang w:val="en-GB" w:eastAsia="ja-JP"/>
        </w:rPr>
      </w:pPr>
      <w:r>
        <w:rPr>
          <w:rFonts w:ascii="Arial" w:hAnsi="Arial" w:cs="Arial"/>
          <w:lang w:val="en-GB" w:eastAsia="ja-JP"/>
        </w:rPr>
        <w:t>For the first option (“</w:t>
      </w:r>
      <w:r w:rsidRPr="00235744">
        <w:rPr>
          <w:rFonts w:ascii="Arial" w:hAnsi="Arial" w:cs="Arial"/>
          <w:lang w:val="en-GB" w:eastAsia="ja-JP"/>
        </w:rPr>
        <w:t>SLSS is transmitted (based on Rel-14 procedure) on selected sync carrier from Set-B</w:t>
      </w:r>
      <w:r>
        <w:rPr>
          <w:rFonts w:ascii="Arial" w:hAnsi="Arial" w:cs="Arial"/>
          <w:lang w:val="en-GB" w:eastAsia="ja-JP"/>
        </w:rPr>
        <w:t>”), it is unclear where to transmit SLSS when the UE has a synchronization reference that is not UE sync ref (e.g., GNSS or eNB).</w:t>
      </w:r>
    </w:p>
    <w:p w14:paraId="1D7A90C1" w14:textId="0E68269D" w:rsidR="00885D4E" w:rsidRDefault="00220258" w:rsidP="00672273">
      <w:pPr>
        <w:rPr>
          <w:rFonts w:ascii="Arial" w:hAnsi="Arial" w:cs="Arial"/>
          <w:lang w:val="en-GB" w:eastAsia="ja-JP"/>
        </w:rPr>
      </w:pPr>
      <w:r>
        <w:rPr>
          <w:rFonts w:ascii="Arial" w:hAnsi="Arial" w:cs="Arial"/>
          <w:lang w:val="en-GB" w:eastAsia="ja-JP"/>
        </w:rPr>
        <w:t xml:space="preserve">Several proposals have been included in contributions (e.g. </w:t>
      </w:r>
      <w:r>
        <w:rPr>
          <w:rFonts w:ascii="Arial" w:hAnsi="Arial" w:cs="Arial"/>
          <w:lang w:val="en-GB" w:eastAsia="ja-JP"/>
        </w:rPr>
        <w:fldChar w:fldCharType="begin"/>
      </w:r>
      <w:r>
        <w:rPr>
          <w:rFonts w:ascii="Arial" w:hAnsi="Arial" w:cs="Arial"/>
          <w:lang w:val="en-GB" w:eastAsia="ja-JP"/>
        </w:rPr>
        <w:instrText xml:space="preserve"> REF _Ref514581880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[3]</w:t>
      </w:r>
      <w:r>
        <w:rPr>
          <w:rFonts w:ascii="Arial" w:hAnsi="Arial" w:cs="Arial"/>
          <w:lang w:val="en-GB" w:eastAsia="ja-JP"/>
        </w:rPr>
        <w:fldChar w:fldCharType="end"/>
      </w:r>
      <w:r>
        <w:rPr>
          <w:rFonts w:ascii="Arial" w:hAnsi="Arial" w:cs="Arial"/>
          <w:lang w:val="en-GB" w:eastAsia="ja-JP"/>
        </w:rPr>
        <w:t>,</w:t>
      </w:r>
      <w:r>
        <w:rPr>
          <w:rFonts w:ascii="Arial" w:hAnsi="Arial" w:cs="Arial"/>
          <w:lang w:val="en-GB" w:eastAsia="ja-JP"/>
        </w:rPr>
        <w:fldChar w:fldCharType="begin"/>
      </w:r>
      <w:r>
        <w:rPr>
          <w:rFonts w:ascii="Arial" w:hAnsi="Arial" w:cs="Arial"/>
          <w:lang w:val="en-GB" w:eastAsia="ja-JP"/>
        </w:rPr>
        <w:instrText xml:space="preserve"> REF _Ref514626209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[5]</w:t>
      </w:r>
      <w:r>
        <w:rPr>
          <w:rFonts w:ascii="Arial" w:hAnsi="Arial" w:cs="Arial"/>
          <w:lang w:val="en-GB" w:eastAsia="ja-JP"/>
        </w:rPr>
        <w:fldChar w:fldCharType="end"/>
      </w:r>
      <w:r>
        <w:rPr>
          <w:rFonts w:ascii="Arial" w:hAnsi="Arial" w:cs="Arial"/>
          <w:lang w:val="en-GB" w:eastAsia="ja-JP"/>
        </w:rPr>
        <w:t>)</w:t>
      </w:r>
      <w:r w:rsidR="002318F4">
        <w:rPr>
          <w:rFonts w:ascii="Arial" w:hAnsi="Arial" w:cs="Arial"/>
          <w:lang w:val="en-GB" w:eastAsia="ja-JP"/>
        </w:rPr>
        <w:t>. Further discussion on this point seems necessary. Similarly</w:t>
      </w:r>
      <w:r w:rsidR="00CF772E">
        <w:rPr>
          <w:rFonts w:ascii="Arial" w:hAnsi="Arial" w:cs="Arial"/>
          <w:lang w:val="en-GB" w:eastAsia="ja-JP"/>
        </w:rPr>
        <w:t>,</w:t>
      </w:r>
      <w:r w:rsidR="002318F4">
        <w:rPr>
          <w:rFonts w:ascii="Arial" w:hAnsi="Arial" w:cs="Arial"/>
          <w:lang w:val="en-GB" w:eastAsia="ja-JP"/>
        </w:rPr>
        <w:t xml:space="preserve"> to the previous issue, we note that it is preferable to avoid changes to RRC signalling at this point. We also note that, in the existing agreements, we have left up to UE implementation the selection of carrier in certain cases (e.g., limitation of number of TX chains). </w:t>
      </w:r>
    </w:p>
    <w:p w14:paraId="32FDAB81" w14:textId="0EEE6AB4" w:rsidR="002318F4" w:rsidRPr="00B63831" w:rsidRDefault="002D4018" w:rsidP="0082076E">
      <w:pPr>
        <w:pStyle w:val="Proposal"/>
        <w:spacing w:before="240"/>
        <w:rPr>
          <w:rFonts w:cs="Arial"/>
          <w:lang w:eastAsia="ja-JP"/>
        </w:rPr>
      </w:pPr>
      <w:bookmarkStart w:id="4" w:name="_Toc514673095"/>
      <w:r>
        <w:t>W</w:t>
      </w:r>
      <w:r w:rsidR="002318F4">
        <w:t>hen the UE has selected a synchronization reference other than Sync Ref UE (e.g., GNSS or eNB)</w:t>
      </w:r>
      <w:r>
        <w:t>, selection of carrier for transmission of SLSS in Option 1 is up to UE implementation.</w:t>
      </w:r>
      <w:bookmarkEnd w:id="4"/>
    </w:p>
    <w:p w14:paraId="5300F849" w14:textId="7F1BCAF1" w:rsidR="00C01F33" w:rsidRPr="00CE0424" w:rsidRDefault="00C01F33" w:rsidP="00CF772E">
      <w:pPr>
        <w:pStyle w:val="Heading1"/>
      </w:pPr>
      <w:r w:rsidRPr="00CE0424">
        <w:t>Conclusion</w:t>
      </w:r>
    </w:p>
    <w:p w14:paraId="7AFEA5AA" w14:textId="3BDC345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E045A7" w14:textId="77777777" w:rsidR="00E159B8" w:rsidRDefault="006E1C82">
      <w:pPr>
        <w:pStyle w:val="TableofFigures"/>
        <w:tabs>
          <w:tab w:val="right" w:leader="dot" w:pos="9629"/>
        </w:tabs>
        <w:rPr>
          <w:rFonts w:asciiTheme="minorHAnsi" w:eastAsiaTheme="minorEastAsia" w:hAnsiTheme="minorHAnsi"/>
          <w:b w:val="0"/>
          <w:noProof/>
          <w:lang w:eastAsia="en-US"/>
        </w:rPr>
      </w:pPr>
      <w:r>
        <w:rPr>
          <w:b w:val="0"/>
          <w:bCs/>
          <w:kern w:val="2"/>
        </w:rPr>
        <w:fldChar w:fldCharType="begin"/>
      </w:r>
      <w:r>
        <w:rPr>
          <w:b w:val="0"/>
          <w:bCs/>
        </w:rPr>
        <w:instrText xml:space="preserve"> TOC \n \h \z \t "Proposal" \c </w:instrText>
      </w:r>
      <w:r>
        <w:rPr>
          <w:b w:val="0"/>
          <w:bCs/>
          <w:kern w:val="2"/>
        </w:rPr>
        <w:fldChar w:fldCharType="separate"/>
      </w:r>
      <w:hyperlink w:anchor="_Toc514673094" w:history="1">
        <w:r w:rsidR="00E159B8" w:rsidRPr="00AE1E95">
          <w:rPr>
            <w:rStyle w:val="Hyperlink"/>
            <w:rFonts w:cs="Arial"/>
            <w:noProof/>
            <w:lang w:val="x-none"/>
          </w:rPr>
          <w:t>Proposal 1</w:t>
        </w:r>
        <w:r w:rsidR="00E159B8">
          <w:rPr>
            <w:rFonts w:asciiTheme="minorHAnsi" w:eastAsiaTheme="minorEastAsia" w:hAnsiTheme="minorHAnsi"/>
            <w:b w:val="0"/>
            <w:noProof/>
            <w:lang w:eastAsia="en-US"/>
          </w:rPr>
          <w:tab/>
        </w:r>
        <w:r w:rsidR="00E159B8" w:rsidRPr="00AE1E95">
          <w:rPr>
            <w:rStyle w:val="Hyperlink"/>
            <w:noProof/>
          </w:rPr>
          <w:t>BW and TDD configuration and reserved bits are derived from CC where PSBCH and SLSS are transmitted.</w:t>
        </w:r>
      </w:hyperlink>
    </w:p>
    <w:p w14:paraId="0EDCE958" w14:textId="77777777" w:rsidR="00E159B8" w:rsidRDefault="00A440C1">
      <w:pPr>
        <w:pStyle w:val="TableofFigures"/>
        <w:tabs>
          <w:tab w:val="right" w:leader="dot" w:pos="9629"/>
        </w:tabs>
        <w:rPr>
          <w:rFonts w:asciiTheme="minorHAnsi" w:eastAsiaTheme="minorEastAsia" w:hAnsiTheme="minorHAnsi"/>
          <w:b w:val="0"/>
          <w:noProof/>
          <w:lang w:eastAsia="en-US"/>
        </w:rPr>
      </w:pPr>
      <w:hyperlink w:anchor="_Toc514673095" w:history="1">
        <w:r w:rsidR="00E159B8" w:rsidRPr="00AE1E95">
          <w:rPr>
            <w:rStyle w:val="Hyperlink"/>
            <w:rFonts w:cs="Arial"/>
            <w:noProof/>
            <w:lang w:val="x-none" w:eastAsia="ja-JP"/>
          </w:rPr>
          <w:t>Proposal 2</w:t>
        </w:r>
        <w:r w:rsidR="00E159B8">
          <w:rPr>
            <w:rFonts w:asciiTheme="minorHAnsi" w:eastAsiaTheme="minorEastAsia" w:hAnsiTheme="minorHAnsi"/>
            <w:b w:val="0"/>
            <w:noProof/>
            <w:lang w:eastAsia="en-US"/>
          </w:rPr>
          <w:tab/>
        </w:r>
        <w:r w:rsidR="00E159B8" w:rsidRPr="00AE1E95">
          <w:rPr>
            <w:rStyle w:val="Hyperlink"/>
            <w:noProof/>
          </w:rPr>
          <w:t>When the UE has selected a synchronization reference other than Sync Ref UE (e.g., GNSS or eNB), selection of carrier for transmission of SLSS in Option 1 is up to UE implementation.</w:t>
        </w:r>
      </w:hyperlink>
    </w:p>
    <w:p w14:paraId="7203AEF7" w14:textId="4138BE10" w:rsidR="00F507D1" w:rsidRPr="00CE0424" w:rsidRDefault="006E1C82" w:rsidP="00D3176D">
      <w:pPr>
        <w:pStyle w:val="Heading1"/>
      </w:pPr>
      <w:r>
        <w:rPr>
          <w:b/>
          <w:bCs/>
        </w:rPr>
        <w:lastRenderedPageBreak/>
        <w:fldChar w:fldCharType="end"/>
      </w:r>
      <w:bookmarkStart w:id="5" w:name="_In-sequence_SDU_delivery"/>
      <w:bookmarkEnd w:id="5"/>
      <w:r w:rsidR="00F507D1" w:rsidRPr="00CE0424">
        <w:t>References</w:t>
      </w:r>
    </w:p>
    <w:p w14:paraId="125C3BCF" w14:textId="6665CF55" w:rsidR="005F3025" w:rsidRPr="00CE0424" w:rsidRDefault="00EC4033" w:rsidP="00EC4033">
      <w:pPr>
        <w:pStyle w:val="Reference"/>
      </w:pPr>
      <w:bookmarkStart w:id="6" w:name="_Ref513224754"/>
      <w:bookmarkStart w:id="7" w:name="_Ref174151459"/>
      <w:bookmarkStart w:id="8" w:name="_Ref189809556"/>
      <w:r>
        <w:t>RAN1#92bis, “Chairman’s Notes”</w:t>
      </w:r>
      <w:bookmarkEnd w:id="6"/>
    </w:p>
    <w:p w14:paraId="681AFF03" w14:textId="0EC0B2FA" w:rsidR="006510C3" w:rsidRDefault="006510C3" w:rsidP="00C17873">
      <w:pPr>
        <w:pStyle w:val="Reference"/>
      </w:pPr>
      <w:bookmarkStart w:id="9" w:name="_Ref514581937"/>
      <w:r>
        <w:t>R1-1806146, “On Synchronization Aspects for PC5 CA” Ericsson</w:t>
      </w:r>
      <w:bookmarkEnd w:id="9"/>
    </w:p>
    <w:p w14:paraId="585FE57D" w14:textId="1409E761" w:rsidR="006510C3" w:rsidRDefault="006510C3" w:rsidP="00890C67">
      <w:pPr>
        <w:pStyle w:val="Reference"/>
      </w:pPr>
      <w:bookmarkStart w:id="10" w:name="_Ref514581880"/>
      <w:r>
        <w:t>R1-1806263, “Remaining details on synchronization for carrier aggregation in V2X Phase 2,” CATT</w:t>
      </w:r>
      <w:bookmarkEnd w:id="10"/>
    </w:p>
    <w:p w14:paraId="3253BC8A" w14:textId="67489AFB" w:rsidR="006510C3" w:rsidRDefault="006510C3" w:rsidP="00FF2C99">
      <w:pPr>
        <w:pStyle w:val="Reference"/>
      </w:pPr>
      <w:bookmarkStart w:id="11" w:name="_Ref514581951"/>
      <w:r>
        <w:t>R1-1806482, “Remaining sidelink synchronization details for LTE V2V carrier aggregation,” Intel Corporation</w:t>
      </w:r>
      <w:bookmarkEnd w:id="11"/>
    </w:p>
    <w:p w14:paraId="0A67C3F6" w14:textId="156BD291" w:rsidR="006510C3" w:rsidRDefault="006510C3" w:rsidP="00FF296F">
      <w:pPr>
        <w:pStyle w:val="Reference"/>
      </w:pPr>
      <w:bookmarkStart w:id="12" w:name="_Ref514626209"/>
      <w:r>
        <w:t>R1-1806582, “Remaining issues on synchronization for sidelink CA,” LG Electronics</w:t>
      </w:r>
      <w:bookmarkEnd w:id="12"/>
    </w:p>
    <w:p w14:paraId="19376F94" w14:textId="4A2A7910" w:rsidR="006510C3" w:rsidRDefault="006510C3" w:rsidP="00EC09E7">
      <w:pPr>
        <w:pStyle w:val="Reference"/>
      </w:pPr>
      <w:r>
        <w:t>R1-1806678, “Synchronization in V2X CA,” Samsung</w:t>
      </w:r>
    </w:p>
    <w:p w14:paraId="2E6782C9" w14:textId="582B1A6F" w:rsidR="006510C3" w:rsidRDefault="006510C3" w:rsidP="00DE638C">
      <w:pPr>
        <w:pStyle w:val="Reference"/>
      </w:pPr>
      <w:bookmarkStart w:id="13" w:name="_Ref514581940"/>
      <w:r>
        <w:t>R1-1806817, “Remaining Issues on Synchronization for Sidelink Carrier Aggregation in V2X Phase 2,” ITRI</w:t>
      </w:r>
      <w:bookmarkEnd w:id="13"/>
    </w:p>
    <w:p w14:paraId="2DE82C80" w14:textId="6E383A4E" w:rsidR="006510C3" w:rsidRDefault="006510C3" w:rsidP="00A866FC">
      <w:pPr>
        <w:pStyle w:val="Reference"/>
      </w:pPr>
      <w:r>
        <w:t>R1-1806995, “Remaining details of SL CA synchronization,” Nokia, Nokia Shanghai Bell</w:t>
      </w:r>
    </w:p>
    <w:p w14:paraId="776F3443" w14:textId="6A7494F7" w:rsidR="005F3025" w:rsidRPr="00CE0424" w:rsidRDefault="006510C3" w:rsidP="00434535">
      <w:pPr>
        <w:pStyle w:val="Reference"/>
      </w:pPr>
      <w:r>
        <w:t>R1-1807272, “Remaining details on synchronization for CA in V2X Phase 2,” ITL</w:t>
      </w:r>
    </w:p>
    <w:bookmarkEnd w:id="7"/>
    <w:bookmarkEnd w:id="8"/>
    <w:p w14:paraId="0034D3CC" w14:textId="5BF2FE24" w:rsidR="003A7EF3" w:rsidRDefault="00220258" w:rsidP="00220258">
      <w:pPr>
        <w:pStyle w:val="Heading1"/>
      </w:pPr>
      <w:r>
        <w:t>Appendix – List of agreements</w:t>
      </w:r>
    </w:p>
    <w:p w14:paraId="140CA06B" w14:textId="1F030380" w:rsidR="00220258" w:rsidRDefault="00220258" w:rsidP="00220258">
      <w:pPr>
        <w:rPr>
          <w:rFonts w:ascii="Arial" w:hAnsi="Arial" w:cs="Arial"/>
          <w:lang w:val="en-GB" w:eastAsia="ja-JP"/>
        </w:rPr>
      </w:pPr>
      <w:r w:rsidRPr="00220258">
        <w:rPr>
          <w:rFonts w:ascii="Arial" w:hAnsi="Arial" w:cs="Arial"/>
          <w:lang w:val="en-GB" w:eastAsia="ja-JP"/>
        </w:rPr>
        <w:t>This appendix contains a list of agreements that are related to synchronization</w:t>
      </w:r>
      <w:r>
        <w:rPr>
          <w:rFonts w:ascii="Arial" w:hAnsi="Arial" w:cs="Arial"/>
          <w:lang w:val="en-GB" w:eastAsia="ja-JP"/>
        </w:rPr>
        <w:t>:</w:t>
      </w:r>
    </w:p>
    <w:p w14:paraId="51AA0D6E" w14:textId="65CB042E" w:rsidR="00220258" w:rsidRDefault="00220258" w:rsidP="00220258">
      <w:pPr>
        <w:rPr>
          <w:rFonts w:ascii="Arial" w:hAnsi="Arial" w:cs="Arial"/>
          <w:lang w:val="en-GB" w:eastAsia="ja-JP"/>
        </w:rPr>
      </w:pPr>
      <w:r>
        <w:rPr>
          <w:rFonts w:ascii="Arial" w:hAnsi="Arial" w:cs="Arial"/>
          <w:lang w:val="en-GB" w:eastAsia="ja-JP"/>
        </w:rPr>
        <w:t>RAN1#91:</w:t>
      </w:r>
    </w:p>
    <w:p w14:paraId="2D7113A4" w14:textId="77777777" w:rsidR="00220258" w:rsidRPr="00E711FD" w:rsidRDefault="00220258" w:rsidP="00220258">
      <w:pPr>
        <w:ind w:left="714"/>
        <w:rPr>
          <w:rFonts w:eastAsia="Yu Mincho"/>
          <w:lang w:eastAsia="ja-JP"/>
        </w:rPr>
      </w:pPr>
      <w:r w:rsidRPr="00E711FD">
        <w:rPr>
          <w:rFonts w:eastAsia="Yu Mincho"/>
          <w:highlight w:val="green"/>
          <w:lang w:eastAsia="ja-JP"/>
        </w:rPr>
        <w:t>Agreement</w:t>
      </w:r>
    </w:p>
    <w:p w14:paraId="660B49B3" w14:textId="77777777" w:rsidR="00220258" w:rsidRPr="00340DA3" w:rsidRDefault="00220258" w:rsidP="00220258">
      <w:pPr>
        <w:numPr>
          <w:ilvl w:val="0"/>
          <w:numId w:val="29"/>
        </w:numPr>
        <w:overflowPunct w:val="0"/>
        <w:adjustRightInd w:val="0"/>
        <w:spacing w:after="0" w:line="240" w:lineRule="auto"/>
        <w:ind w:left="1071" w:hanging="357"/>
        <w:textAlignment w:val="baseline"/>
      </w:pPr>
      <w:r w:rsidRPr="00340DA3">
        <w:t>Higher layers can configure set of carrier(s) (Set-A) that can potentially be used as the synchronization carrier for the potential carriers configured for Tx and Rx for CA</w:t>
      </w:r>
    </w:p>
    <w:p w14:paraId="5A175109" w14:textId="77777777" w:rsidR="00220258" w:rsidRPr="00340DA3" w:rsidRDefault="00220258" w:rsidP="00220258">
      <w:pPr>
        <w:numPr>
          <w:ilvl w:val="1"/>
          <w:numId w:val="29"/>
        </w:numPr>
        <w:overflowPunct w:val="0"/>
        <w:adjustRightInd w:val="0"/>
        <w:spacing w:after="0" w:line="240" w:lineRule="auto"/>
        <w:ind w:left="1791" w:hanging="357"/>
        <w:textAlignment w:val="baseline"/>
      </w:pPr>
      <w:r w:rsidRPr="00340DA3">
        <w:t>If this set is empty, Rel-14 independent synchronization is used per carrier</w:t>
      </w:r>
    </w:p>
    <w:p w14:paraId="4B8CAD85" w14:textId="77777777" w:rsidR="00220258" w:rsidRPr="00340DA3" w:rsidRDefault="00220258" w:rsidP="00220258">
      <w:pPr>
        <w:numPr>
          <w:ilvl w:val="2"/>
          <w:numId w:val="29"/>
        </w:numPr>
        <w:overflowPunct w:val="0"/>
        <w:adjustRightInd w:val="0"/>
        <w:spacing w:after="0" w:line="240" w:lineRule="auto"/>
        <w:ind w:left="2511" w:hanging="357"/>
        <w:textAlignment w:val="baseline"/>
      </w:pPr>
      <w:r w:rsidRPr="00340DA3">
        <w:t>RAN1 assumes that carriers can only be aggregated in this behaviour if they use the same synchronization reference (e.g. GNSS, or same eNodeB)</w:t>
      </w:r>
    </w:p>
    <w:p w14:paraId="6EE9ACB1" w14:textId="77777777" w:rsidR="00220258" w:rsidRPr="00340DA3" w:rsidRDefault="00220258" w:rsidP="00220258">
      <w:pPr>
        <w:numPr>
          <w:ilvl w:val="1"/>
          <w:numId w:val="29"/>
        </w:numPr>
        <w:overflowPunct w:val="0"/>
        <w:adjustRightInd w:val="0"/>
        <w:spacing w:after="0" w:line="240" w:lineRule="auto"/>
        <w:ind w:left="1791" w:hanging="357"/>
        <w:textAlignment w:val="baseline"/>
      </w:pPr>
      <w:r w:rsidRPr="00340DA3">
        <w:t>If this set is non-empty:</w:t>
      </w:r>
    </w:p>
    <w:p w14:paraId="1592F94A" w14:textId="77777777" w:rsidR="00220258" w:rsidRPr="00340DA3" w:rsidRDefault="00220258" w:rsidP="00220258">
      <w:pPr>
        <w:numPr>
          <w:ilvl w:val="2"/>
          <w:numId w:val="29"/>
        </w:numPr>
        <w:overflowPunct w:val="0"/>
        <w:adjustRightInd w:val="0"/>
        <w:spacing w:after="0" w:line="240" w:lineRule="auto"/>
        <w:ind w:left="2511" w:hanging="357"/>
        <w:textAlignment w:val="baseline"/>
      </w:pPr>
      <w:r w:rsidRPr="00340DA3">
        <w:t>Set-A must be a subset of the set of potential carriers configured for Tx and Rx for CA</w:t>
      </w:r>
    </w:p>
    <w:p w14:paraId="42725071" w14:textId="77777777" w:rsidR="00220258" w:rsidRPr="00340DA3" w:rsidRDefault="00220258" w:rsidP="00220258">
      <w:pPr>
        <w:numPr>
          <w:ilvl w:val="3"/>
          <w:numId w:val="29"/>
        </w:numPr>
        <w:overflowPunct w:val="0"/>
        <w:adjustRightInd w:val="0"/>
        <w:spacing w:after="0" w:line="240" w:lineRule="auto"/>
        <w:ind w:left="3231" w:hanging="357"/>
        <w:textAlignment w:val="baseline"/>
      </w:pPr>
      <w:r w:rsidRPr="00340DA3">
        <w:t>Note: this includes the case when Set-A is the same as the set of potential carriers configured for Tx and Rx for CA</w:t>
      </w:r>
    </w:p>
    <w:p w14:paraId="3684E09C" w14:textId="77777777" w:rsidR="00220258" w:rsidRPr="00340DA3" w:rsidRDefault="00220258" w:rsidP="00220258">
      <w:pPr>
        <w:numPr>
          <w:ilvl w:val="3"/>
          <w:numId w:val="29"/>
        </w:numPr>
        <w:overflowPunct w:val="0"/>
        <w:adjustRightInd w:val="0"/>
        <w:spacing w:after="0" w:line="240" w:lineRule="auto"/>
        <w:ind w:left="3231" w:hanging="357"/>
        <w:textAlignment w:val="baseline"/>
      </w:pPr>
      <w:r w:rsidRPr="00340DA3">
        <w:t>Note: At any given time, the UE may not be capable of reception and/or transmission on one or more of the configured synchronization carriers due to limited Rx and/or Tx chains</w:t>
      </w:r>
    </w:p>
    <w:p w14:paraId="22A9872E" w14:textId="77777777" w:rsidR="00220258" w:rsidRPr="00340DA3" w:rsidRDefault="00220258" w:rsidP="00220258">
      <w:pPr>
        <w:numPr>
          <w:ilvl w:val="2"/>
          <w:numId w:val="29"/>
        </w:numPr>
        <w:overflowPunct w:val="0"/>
        <w:adjustRightInd w:val="0"/>
        <w:spacing w:after="0" w:line="240" w:lineRule="auto"/>
        <w:ind w:left="2511" w:hanging="357"/>
        <w:textAlignment w:val="baseline"/>
      </w:pPr>
      <w:bookmarkStart w:id="14" w:name="_Hlk514627164"/>
      <w:r w:rsidRPr="00340DA3">
        <w:t>UE determines the available set of synchronization carriers (Set-B) as the subset of Set-A based on the carriers which the UE is currently aggregating</w:t>
      </w:r>
      <w:bookmarkEnd w:id="14"/>
      <w:r w:rsidRPr="00340DA3">
        <w:t>.</w:t>
      </w:r>
    </w:p>
    <w:p w14:paraId="5CB3C6A0" w14:textId="77777777" w:rsidR="00220258" w:rsidRPr="00340DA3" w:rsidRDefault="00220258" w:rsidP="00220258">
      <w:pPr>
        <w:numPr>
          <w:ilvl w:val="3"/>
          <w:numId w:val="29"/>
        </w:numPr>
        <w:overflowPunct w:val="0"/>
        <w:adjustRightInd w:val="0"/>
        <w:spacing w:after="0" w:line="240" w:lineRule="auto"/>
        <w:ind w:left="3231" w:hanging="357"/>
        <w:textAlignment w:val="baseline"/>
      </w:pPr>
      <w:r w:rsidRPr="00340DA3">
        <w:t>Note: This does not exclude the UE implementation or proper higher layer configuration that allows Set-B to be the same or a subset of Set-A by choosing the carriers its aggregating.</w:t>
      </w:r>
    </w:p>
    <w:p w14:paraId="77D7DCEF" w14:textId="77777777" w:rsidR="00220258" w:rsidRPr="00340DA3" w:rsidRDefault="00220258" w:rsidP="00220258">
      <w:pPr>
        <w:numPr>
          <w:ilvl w:val="1"/>
          <w:numId w:val="29"/>
        </w:numPr>
        <w:overflowPunct w:val="0"/>
        <w:adjustRightInd w:val="0"/>
        <w:spacing w:after="0" w:line="240" w:lineRule="auto"/>
        <w:ind w:left="1791" w:hanging="357"/>
        <w:textAlignment w:val="baseline"/>
      </w:pPr>
      <w:r w:rsidRPr="00340DA3">
        <w:t xml:space="preserve">Within the Set-B of available set of synchronization carriers: </w:t>
      </w:r>
    </w:p>
    <w:p w14:paraId="2F43C3D9" w14:textId="77777777" w:rsidR="00220258" w:rsidRPr="00340DA3" w:rsidRDefault="00220258" w:rsidP="00220258">
      <w:pPr>
        <w:numPr>
          <w:ilvl w:val="2"/>
          <w:numId w:val="29"/>
        </w:numPr>
        <w:overflowPunct w:val="0"/>
        <w:adjustRightInd w:val="0"/>
        <w:spacing w:after="0" w:line="240" w:lineRule="auto"/>
        <w:ind w:left="2511" w:hanging="357"/>
        <w:textAlignment w:val="baseline"/>
      </w:pPr>
      <w:r w:rsidRPr="00340DA3">
        <w:t>If no potential synchronization carrier is present, Rel-14 behaviour of independent synchronization per carrier is assumed.</w:t>
      </w:r>
    </w:p>
    <w:p w14:paraId="55BD1B98" w14:textId="77777777" w:rsidR="00220258" w:rsidRPr="00340DA3" w:rsidRDefault="00220258" w:rsidP="00220258">
      <w:pPr>
        <w:numPr>
          <w:ilvl w:val="2"/>
          <w:numId w:val="29"/>
        </w:numPr>
        <w:overflowPunct w:val="0"/>
        <w:adjustRightInd w:val="0"/>
        <w:spacing w:after="0" w:line="240" w:lineRule="auto"/>
        <w:ind w:left="2511" w:hanging="357"/>
        <w:textAlignment w:val="baseline"/>
      </w:pPr>
      <w:r w:rsidRPr="00340DA3">
        <w:t xml:space="preserve">If only one potential synchronization carrier is present, UE shall use </w:t>
      </w:r>
      <w:r w:rsidRPr="00340DA3">
        <w:rPr>
          <w:rFonts w:eastAsia="Malgun Gothic" w:hint="eastAsia"/>
        </w:rPr>
        <w:t>derive time/frequency of all the aggregated carriers from the synchronization reference of the synchronization carrier.</w:t>
      </w:r>
    </w:p>
    <w:p w14:paraId="52D88629" w14:textId="77777777" w:rsidR="00220258" w:rsidRPr="00340DA3" w:rsidRDefault="00220258" w:rsidP="00220258">
      <w:pPr>
        <w:numPr>
          <w:ilvl w:val="2"/>
          <w:numId w:val="29"/>
        </w:numPr>
        <w:overflowPunct w:val="0"/>
        <w:adjustRightInd w:val="0"/>
        <w:spacing w:after="0" w:line="240" w:lineRule="auto"/>
        <w:ind w:left="2511" w:hanging="357"/>
        <w:textAlignment w:val="baseline"/>
      </w:pPr>
      <w:r w:rsidRPr="00340DA3">
        <w:t>If two or more potential</w:t>
      </w:r>
      <w:r w:rsidRPr="00340DA3">
        <w:rPr>
          <w:rFonts w:eastAsia="Malgun Gothic" w:hint="eastAsia"/>
        </w:rPr>
        <w:t xml:space="preserve"> </w:t>
      </w:r>
      <w:r w:rsidRPr="00340DA3">
        <w:t>synchronization carriers are present, FFS how the UE selects one of the carrier to be used as the synchronization carrier.</w:t>
      </w:r>
    </w:p>
    <w:p w14:paraId="579FBAF8" w14:textId="77777777" w:rsidR="00220258" w:rsidRPr="00340DA3" w:rsidRDefault="00220258" w:rsidP="00220258">
      <w:pPr>
        <w:numPr>
          <w:ilvl w:val="0"/>
          <w:numId w:val="29"/>
        </w:numPr>
        <w:spacing w:after="0" w:line="240" w:lineRule="auto"/>
        <w:ind w:left="1071"/>
        <w:rPr>
          <w:lang w:eastAsia="x-none"/>
        </w:rPr>
      </w:pPr>
      <w:r w:rsidRPr="00340DA3">
        <w:rPr>
          <w:lang w:eastAsia="x-none"/>
        </w:rPr>
        <w:lastRenderedPageBreak/>
        <w:t>The following working assumption is confirmed in the context of this agreement</w:t>
      </w:r>
    </w:p>
    <w:p w14:paraId="25D4A166" w14:textId="77777777" w:rsidR="00220258" w:rsidRPr="00340DA3" w:rsidRDefault="00220258" w:rsidP="00220258">
      <w:pPr>
        <w:numPr>
          <w:ilvl w:val="1"/>
          <w:numId w:val="29"/>
        </w:numPr>
        <w:spacing w:after="0" w:line="240" w:lineRule="auto"/>
        <w:ind w:left="1791"/>
        <w:rPr>
          <w:lang w:eastAsia="x-none"/>
        </w:rPr>
      </w:pPr>
      <w:r w:rsidRPr="00340DA3">
        <w:rPr>
          <w:lang w:eastAsia="x-none"/>
        </w:rPr>
        <w:t>From the transmitting UE perspective, a single synchronization reference is used for all aggregated carriers</w:t>
      </w:r>
    </w:p>
    <w:p w14:paraId="69408FB5" w14:textId="77777777" w:rsidR="00220258" w:rsidRPr="00340DA3" w:rsidRDefault="00220258" w:rsidP="00220258">
      <w:pPr>
        <w:numPr>
          <w:ilvl w:val="2"/>
          <w:numId w:val="29"/>
        </w:numPr>
        <w:spacing w:after="0" w:line="240" w:lineRule="auto"/>
        <w:ind w:left="2511"/>
        <w:rPr>
          <w:lang w:eastAsia="x-none"/>
        </w:rPr>
      </w:pPr>
      <w:r w:rsidRPr="00340DA3">
        <w:rPr>
          <w:lang w:eastAsia="x-none"/>
        </w:rPr>
        <w:t>When a UE transmits multiple MAC PDUs on multiple carriers, timing on all transmission carriers is aligned</w:t>
      </w:r>
    </w:p>
    <w:p w14:paraId="6CD601CC" w14:textId="77777777" w:rsidR="00220258" w:rsidRPr="00CA54A9" w:rsidRDefault="00220258" w:rsidP="00220258">
      <w:pPr>
        <w:numPr>
          <w:ilvl w:val="0"/>
          <w:numId w:val="29"/>
        </w:numPr>
        <w:spacing w:after="0" w:line="240" w:lineRule="auto"/>
        <w:ind w:left="1071"/>
        <w:rPr>
          <w:lang w:eastAsia="x-none"/>
        </w:rPr>
      </w:pPr>
      <w:r w:rsidRPr="00CA54A9">
        <w:rPr>
          <w:highlight w:val="darkYellow"/>
          <w:lang w:eastAsia="x-none"/>
        </w:rPr>
        <w:t>Working assumption</w:t>
      </w:r>
      <w:r w:rsidRPr="00CA54A9">
        <w:rPr>
          <w:lang w:eastAsia="x-none"/>
        </w:rPr>
        <w:t>: From the receiving UE perspective, a single synchronization reference is used for reception of all aggregated carriers</w:t>
      </w:r>
    </w:p>
    <w:p w14:paraId="690FD04A" w14:textId="77777777" w:rsidR="00220258" w:rsidRPr="00CA54A9" w:rsidRDefault="00220258" w:rsidP="00220258">
      <w:pPr>
        <w:numPr>
          <w:ilvl w:val="1"/>
          <w:numId w:val="29"/>
        </w:numPr>
        <w:spacing w:after="0" w:line="240" w:lineRule="auto"/>
        <w:ind w:left="1791"/>
        <w:rPr>
          <w:lang w:eastAsia="x-none"/>
        </w:rPr>
      </w:pPr>
      <w:r w:rsidRPr="009A43F0">
        <w:rPr>
          <w:rFonts w:eastAsia="Yu Mincho" w:hint="eastAsia"/>
          <w:lang w:eastAsia="ja-JP"/>
        </w:rPr>
        <w:t>T</w:t>
      </w:r>
      <w:r w:rsidRPr="009A43F0">
        <w:rPr>
          <w:rFonts w:eastAsia="Yu Mincho"/>
          <w:lang w:eastAsia="ja-JP"/>
        </w:rPr>
        <w:t>his does not preclude UE to monitor different synchronization sources on the different carriers</w:t>
      </w:r>
    </w:p>
    <w:p w14:paraId="1EB6975A" w14:textId="77777777" w:rsidR="00220258" w:rsidRPr="00340DA3" w:rsidRDefault="00220258" w:rsidP="00220258">
      <w:pPr>
        <w:numPr>
          <w:ilvl w:val="0"/>
          <w:numId w:val="29"/>
        </w:numPr>
        <w:overflowPunct w:val="0"/>
        <w:adjustRightInd w:val="0"/>
        <w:spacing w:after="0" w:line="240" w:lineRule="auto"/>
        <w:ind w:left="1071"/>
        <w:textAlignment w:val="baseline"/>
      </w:pPr>
      <w:r w:rsidRPr="00340DA3">
        <w:t>Note that the terminology used in this agreement (e.g. synchronization carrier, Set-A, Set-B) are limited to this agreement.</w:t>
      </w:r>
    </w:p>
    <w:p w14:paraId="386C4A74" w14:textId="3A287ADA" w:rsidR="00220258" w:rsidRDefault="00220258" w:rsidP="00220258">
      <w:pPr>
        <w:spacing w:before="240"/>
        <w:rPr>
          <w:rFonts w:ascii="Arial" w:hAnsi="Arial" w:cs="Arial"/>
          <w:lang w:eastAsia="ja-JP"/>
        </w:rPr>
      </w:pPr>
      <w:r>
        <w:rPr>
          <w:rFonts w:ascii="Arial" w:hAnsi="Arial" w:cs="Arial"/>
          <w:lang w:eastAsia="ja-JP"/>
        </w:rPr>
        <w:t>RAN1#92</w:t>
      </w:r>
    </w:p>
    <w:p w14:paraId="4AD98C5A" w14:textId="77777777" w:rsidR="00220258" w:rsidRPr="006104B9" w:rsidRDefault="00220258" w:rsidP="00220258">
      <w:pPr>
        <w:ind w:left="567"/>
        <w:rPr>
          <w:b/>
          <w:highlight w:val="green"/>
          <w:u w:val="single"/>
          <w:lang w:eastAsia="x-none"/>
        </w:rPr>
      </w:pPr>
      <w:r w:rsidRPr="006104B9">
        <w:rPr>
          <w:b/>
          <w:highlight w:val="green"/>
          <w:u w:val="single"/>
          <w:lang w:eastAsia="x-none"/>
        </w:rPr>
        <w:t xml:space="preserve">Agreement: </w:t>
      </w:r>
    </w:p>
    <w:p w14:paraId="16EA2E6B" w14:textId="77777777" w:rsidR="00220258" w:rsidRDefault="00220258" w:rsidP="00220258">
      <w:pPr>
        <w:numPr>
          <w:ilvl w:val="0"/>
          <w:numId w:val="30"/>
        </w:numPr>
        <w:spacing w:after="0" w:line="240" w:lineRule="auto"/>
        <w:ind w:left="1287"/>
        <w:rPr>
          <w:lang w:eastAsia="x-none"/>
        </w:rPr>
      </w:pPr>
      <w:r>
        <w:rPr>
          <w:lang w:eastAsia="x-none"/>
        </w:rPr>
        <w:t xml:space="preserve">Working assumption is confirmed that, from the perspective of the receiving UE, a single synchronization reference is used for reception of all </w:t>
      </w:r>
      <w:r w:rsidRPr="006104B9">
        <w:rPr>
          <w:lang w:eastAsia="x-none"/>
        </w:rPr>
        <w:t xml:space="preserve">aggregated carriers at a given time. </w:t>
      </w:r>
    </w:p>
    <w:p w14:paraId="31036A8E" w14:textId="77777777" w:rsidR="00220258" w:rsidRPr="00AA6505" w:rsidRDefault="00220258" w:rsidP="00220258">
      <w:pPr>
        <w:spacing w:before="240"/>
        <w:ind w:left="567"/>
        <w:rPr>
          <w:b/>
          <w:highlight w:val="green"/>
          <w:u w:val="single"/>
          <w:lang w:eastAsia="x-none"/>
        </w:rPr>
      </w:pPr>
      <w:r w:rsidRPr="00AA6505">
        <w:rPr>
          <w:b/>
          <w:highlight w:val="green"/>
          <w:u w:val="single"/>
          <w:lang w:eastAsia="x-none"/>
        </w:rPr>
        <w:t>Agreement:</w:t>
      </w:r>
    </w:p>
    <w:p w14:paraId="6B1B9F74" w14:textId="77777777" w:rsidR="00220258" w:rsidRDefault="00220258" w:rsidP="00220258">
      <w:pPr>
        <w:numPr>
          <w:ilvl w:val="0"/>
          <w:numId w:val="30"/>
        </w:numPr>
        <w:spacing w:after="0" w:line="240" w:lineRule="auto"/>
        <w:ind w:left="1287"/>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14:paraId="1DC10520" w14:textId="77777777" w:rsidR="00220258" w:rsidRDefault="00220258" w:rsidP="00220258">
      <w:pPr>
        <w:numPr>
          <w:ilvl w:val="0"/>
          <w:numId w:val="30"/>
        </w:numPr>
        <w:spacing w:after="0" w:line="240" w:lineRule="auto"/>
        <w:ind w:left="1287"/>
        <w:rPr>
          <w:lang w:eastAsia="x-none"/>
        </w:rPr>
      </w:pPr>
      <w:r>
        <w:rPr>
          <w:lang w:eastAsia="x-none"/>
        </w:rPr>
        <w:t xml:space="preserve">A UE may assume that the configuration for sync reference priority is the same across all the aggregated carriers in CA. </w:t>
      </w:r>
    </w:p>
    <w:p w14:paraId="10EE6A54" w14:textId="77777777" w:rsidR="00220258" w:rsidRDefault="00220258" w:rsidP="00220258">
      <w:pPr>
        <w:ind w:left="567"/>
        <w:rPr>
          <w:lang w:eastAsia="x-none"/>
        </w:rPr>
      </w:pPr>
    </w:p>
    <w:p w14:paraId="2571D9DB" w14:textId="77777777" w:rsidR="00220258" w:rsidRPr="00AA6505" w:rsidRDefault="00220258" w:rsidP="00220258">
      <w:pPr>
        <w:ind w:left="567"/>
        <w:rPr>
          <w:b/>
          <w:highlight w:val="green"/>
          <w:u w:val="single"/>
          <w:lang w:eastAsia="x-none"/>
        </w:rPr>
      </w:pPr>
      <w:r w:rsidRPr="00AA6505">
        <w:rPr>
          <w:b/>
          <w:highlight w:val="green"/>
          <w:u w:val="single"/>
          <w:lang w:eastAsia="x-none"/>
        </w:rPr>
        <w:t xml:space="preserve">Agreement: </w:t>
      </w:r>
    </w:p>
    <w:p w14:paraId="1BBF6906" w14:textId="77777777" w:rsidR="00220258" w:rsidRPr="00AA6505" w:rsidRDefault="00220258" w:rsidP="00220258">
      <w:pPr>
        <w:numPr>
          <w:ilvl w:val="0"/>
          <w:numId w:val="31"/>
        </w:numPr>
        <w:tabs>
          <w:tab w:val="clear" w:pos="720"/>
          <w:tab w:val="num" w:pos="1647"/>
        </w:tabs>
        <w:spacing w:after="0" w:line="240" w:lineRule="auto"/>
        <w:ind w:left="1287"/>
        <w:rPr>
          <w:lang w:eastAsia="x-none"/>
        </w:rPr>
      </w:pPr>
      <w:r w:rsidRPr="00AA6505">
        <w:rPr>
          <w:lang w:eastAsia="x-none"/>
        </w:rPr>
        <w:t>It is RAN1 understanding that the DFN value is common to all aggregated carriers.</w:t>
      </w:r>
    </w:p>
    <w:p w14:paraId="192CC314" w14:textId="77777777" w:rsidR="00220258" w:rsidRPr="00AA6505" w:rsidRDefault="00220258" w:rsidP="00220258">
      <w:pPr>
        <w:numPr>
          <w:ilvl w:val="0"/>
          <w:numId w:val="31"/>
        </w:numPr>
        <w:tabs>
          <w:tab w:val="clear" w:pos="720"/>
          <w:tab w:val="num" w:pos="1647"/>
        </w:tabs>
        <w:spacing w:after="0" w:line="240" w:lineRule="auto"/>
        <w:ind w:left="1287"/>
        <w:rPr>
          <w:lang w:eastAsia="x-none"/>
        </w:rPr>
      </w:pPr>
      <w:r w:rsidRPr="00AA6505">
        <w:rPr>
          <w:lang w:eastAsia="x-none"/>
        </w:rPr>
        <w:t>RAN1 assumes that the DFN offset value is common to all aggregated carriers from a UE point of view.</w:t>
      </w:r>
    </w:p>
    <w:p w14:paraId="65449D12" w14:textId="77777777" w:rsidR="00220258" w:rsidRDefault="00220258" w:rsidP="00220258">
      <w:pPr>
        <w:ind w:left="567"/>
        <w:rPr>
          <w:lang w:eastAsia="x-none"/>
        </w:rPr>
      </w:pPr>
    </w:p>
    <w:p w14:paraId="144AAE55" w14:textId="77777777" w:rsidR="00220258" w:rsidRPr="00AA6505" w:rsidRDefault="00220258" w:rsidP="00220258">
      <w:pPr>
        <w:ind w:left="567"/>
        <w:rPr>
          <w:b/>
          <w:highlight w:val="green"/>
          <w:u w:val="single"/>
          <w:lang w:eastAsia="x-none"/>
        </w:rPr>
      </w:pPr>
      <w:r w:rsidRPr="00AA6505">
        <w:rPr>
          <w:b/>
          <w:highlight w:val="green"/>
          <w:u w:val="single"/>
          <w:lang w:eastAsia="x-none"/>
        </w:rPr>
        <w:t xml:space="preserve">Agreement: </w:t>
      </w:r>
    </w:p>
    <w:p w14:paraId="100EB0D9" w14:textId="77777777" w:rsidR="00220258" w:rsidRPr="00AA6505" w:rsidRDefault="00220258" w:rsidP="00220258">
      <w:pPr>
        <w:numPr>
          <w:ilvl w:val="0"/>
          <w:numId w:val="32"/>
        </w:numPr>
        <w:tabs>
          <w:tab w:val="clear" w:pos="720"/>
          <w:tab w:val="num" w:pos="1647"/>
        </w:tabs>
        <w:spacing w:after="0" w:line="240" w:lineRule="auto"/>
        <w:ind w:left="1287"/>
        <w:rPr>
          <w:lang w:eastAsia="x-none"/>
        </w:rPr>
      </w:pPr>
      <w:r w:rsidRPr="00AA6505">
        <w:rPr>
          <w:lang w:eastAsia="x-none"/>
        </w:rPr>
        <w:t>UE may assume number and location of SLSS resources is the same in all the aggregated carriers.</w:t>
      </w:r>
    </w:p>
    <w:p w14:paraId="1EA330A1" w14:textId="77777777" w:rsidR="00220258" w:rsidRPr="00AA6505" w:rsidRDefault="00220258" w:rsidP="00220258">
      <w:pPr>
        <w:numPr>
          <w:ilvl w:val="0"/>
          <w:numId w:val="32"/>
        </w:numPr>
        <w:tabs>
          <w:tab w:val="clear" w:pos="720"/>
          <w:tab w:val="num" w:pos="1647"/>
        </w:tabs>
        <w:spacing w:after="0" w:line="240" w:lineRule="auto"/>
        <w:ind w:left="1287"/>
        <w:rPr>
          <w:lang w:eastAsia="x-none"/>
        </w:rPr>
      </w:pPr>
      <w:r w:rsidRPr="00AA6505">
        <w:rPr>
          <w:lang w:eastAsia="x-none"/>
        </w:rPr>
        <w:t>RAN1 assumes a UE may be configured a non-synchronization carrier by defining the location of the SLSS resources and by configuring the UE to not transmit SLSS on that carrier.</w:t>
      </w:r>
    </w:p>
    <w:p w14:paraId="758D4203" w14:textId="77777777" w:rsidR="00220258" w:rsidRDefault="00220258" w:rsidP="00220258">
      <w:pPr>
        <w:numPr>
          <w:ilvl w:val="1"/>
          <w:numId w:val="32"/>
        </w:numPr>
        <w:tabs>
          <w:tab w:val="clear" w:pos="1440"/>
          <w:tab w:val="num" w:pos="2367"/>
        </w:tabs>
        <w:spacing w:after="0" w:line="240" w:lineRule="auto"/>
        <w:ind w:left="2007"/>
        <w:rPr>
          <w:lang w:eastAsia="x-none"/>
        </w:rPr>
      </w:pPr>
      <w:r>
        <w:rPr>
          <w:lang w:eastAsia="x-none"/>
        </w:rPr>
        <w:t>Check until RAN1#92bis whether the existing signalling is sufficient for this</w:t>
      </w:r>
    </w:p>
    <w:p w14:paraId="472A6FC4" w14:textId="77777777" w:rsidR="00220258" w:rsidRDefault="00220258" w:rsidP="00220258">
      <w:pPr>
        <w:numPr>
          <w:ilvl w:val="0"/>
          <w:numId w:val="32"/>
        </w:numPr>
        <w:tabs>
          <w:tab w:val="clear" w:pos="720"/>
          <w:tab w:val="num" w:pos="1647"/>
        </w:tabs>
        <w:spacing w:after="0" w:line="240" w:lineRule="auto"/>
        <w:ind w:left="1287"/>
        <w:rPr>
          <w:lang w:eastAsia="x-none"/>
        </w:rPr>
      </w:pPr>
      <w:r w:rsidRPr="00AA6505">
        <w:rPr>
          <w:lang w:eastAsia="x-none"/>
        </w:rPr>
        <w:t xml:space="preserve">FFS how to ensure </w:t>
      </w:r>
      <w:r>
        <w:rPr>
          <w:lang w:eastAsia="x-none"/>
        </w:rPr>
        <w:t>the above</w:t>
      </w:r>
      <w:r w:rsidRPr="00AA6505">
        <w:rPr>
          <w:lang w:eastAsia="x-none"/>
        </w:rPr>
        <w:t xml:space="preserve"> when using preconfiguration.</w:t>
      </w:r>
    </w:p>
    <w:p w14:paraId="420E83A6" w14:textId="77777777" w:rsidR="00220258" w:rsidRDefault="00220258" w:rsidP="00220258">
      <w:pPr>
        <w:ind w:left="567"/>
        <w:rPr>
          <w:lang w:eastAsia="x-none"/>
        </w:rPr>
      </w:pPr>
    </w:p>
    <w:p w14:paraId="41DD6227" w14:textId="77777777" w:rsidR="00220258" w:rsidRPr="009A70A4" w:rsidRDefault="00220258" w:rsidP="00220258">
      <w:pPr>
        <w:ind w:left="567"/>
        <w:rPr>
          <w:b/>
          <w:highlight w:val="darkYellow"/>
          <w:u w:val="single"/>
          <w:lang w:eastAsia="x-none"/>
        </w:rPr>
      </w:pPr>
      <w:r w:rsidRPr="009A70A4">
        <w:rPr>
          <w:b/>
          <w:highlight w:val="darkYellow"/>
          <w:u w:val="single"/>
          <w:lang w:eastAsia="x-none"/>
        </w:rPr>
        <w:t xml:space="preserve">Working Assumption: </w:t>
      </w:r>
    </w:p>
    <w:p w14:paraId="650B4CC1" w14:textId="77777777" w:rsidR="00220258" w:rsidRPr="00AA6505" w:rsidRDefault="00220258" w:rsidP="00220258">
      <w:pPr>
        <w:numPr>
          <w:ilvl w:val="0"/>
          <w:numId w:val="25"/>
        </w:numPr>
        <w:tabs>
          <w:tab w:val="clear" w:pos="720"/>
          <w:tab w:val="num" w:pos="1647"/>
        </w:tabs>
        <w:spacing w:after="0" w:line="240" w:lineRule="auto"/>
        <w:ind w:left="1287"/>
        <w:rPr>
          <w:lang w:eastAsia="x-none"/>
        </w:rPr>
      </w:pPr>
      <w:r w:rsidRPr="00AA6505">
        <w:rPr>
          <w:lang w:eastAsia="x-none"/>
        </w:rPr>
        <w:t>The UE is configured one of the following options:</w:t>
      </w:r>
    </w:p>
    <w:p w14:paraId="7D8C791A" w14:textId="77777777" w:rsidR="00220258" w:rsidRPr="00AA6505" w:rsidRDefault="00220258" w:rsidP="00220258">
      <w:pPr>
        <w:numPr>
          <w:ilvl w:val="0"/>
          <w:numId w:val="34"/>
        </w:numPr>
        <w:spacing w:after="0" w:line="240" w:lineRule="auto"/>
        <w:rPr>
          <w:lang w:eastAsia="x-none"/>
        </w:rPr>
      </w:pPr>
      <w:r w:rsidRPr="00AA6505">
        <w:rPr>
          <w:lang w:eastAsia="x-none"/>
        </w:rPr>
        <w:t>SLSS is transmitted (based on Rel-14 procedure) on selected sync carrier from Set-B</w:t>
      </w:r>
    </w:p>
    <w:p w14:paraId="110ED75B" w14:textId="77777777" w:rsidR="00220258" w:rsidRPr="00AA6505" w:rsidRDefault="00220258" w:rsidP="00220258">
      <w:pPr>
        <w:numPr>
          <w:ilvl w:val="0"/>
          <w:numId w:val="34"/>
        </w:numPr>
        <w:tabs>
          <w:tab w:val="num" w:pos="2367"/>
        </w:tabs>
        <w:spacing w:after="0" w:line="240" w:lineRule="auto"/>
        <w:rPr>
          <w:lang w:eastAsia="x-none"/>
        </w:rPr>
      </w:pPr>
      <w:r w:rsidRPr="00AA6505">
        <w:rPr>
          <w:lang w:eastAsia="x-none"/>
        </w:rPr>
        <w:t>SLSS is transmitted on all carriers from Set-B</w:t>
      </w:r>
    </w:p>
    <w:p w14:paraId="016869BF" w14:textId="77777777" w:rsidR="00220258" w:rsidRPr="00AA6505" w:rsidRDefault="00220258" w:rsidP="00220258">
      <w:pPr>
        <w:numPr>
          <w:ilvl w:val="2"/>
          <w:numId w:val="25"/>
        </w:numPr>
        <w:tabs>
          <w:tab w:val="clear" w:pos="2160"/>
          <w:tab w:val="num" w:pos="3087"/>
        </w:tabs>
        <w:spacing w:after="0" w:line="240" w:lineRule="auto"/>
        <w:ind w:left="2727"/>
        <w:rPr>
          <w:lang w:eastAsia="x-none"/>
        </w:rPr>
      </w:pPr>
      <w:r w:rsidRPr="00AA6505">
        <w:rPr>
          <w:lang w:eastAsia="x-none"/>
        </w:rPr>
        <w:t>FFS</w:t>
      </w:r>
      <w:r>
        <w:rPr>
          <w:lang w:eastAsia="x-none"/>
        </w:rPr>
        <w:t xml:space="preserve"> until RAN1#92bis</w:t>
      </w:r>
      <w:r w:rsidRPr="00AA6505">
        <w:rPr>
          <w:lang w:eastAsia="x-none"/>
        </w:rPr>
        <w:t>: how to handle limited TX capabilities</w:t>
      </w:r>
      <w:r>
        <w:rPr>
          <w:lang w:eastAsia="x-none"/>
        </w:rPr>
        <w:t xml:space="preserve"> (within the constraint that SLSS must at least be transmitted on the selected sync carrier)</w:t>
      </w:r>
      <w:r w:rsidRPr="00AA6505">
        <w:rPr>
          <w:lang w:eastAsia="x-none"/>
        </w:rPr>
        <w:t>, and details such as SLSS id, PSBCH contents, etc.</w:t>
      </w:r>
    </w:p>
    <w:p w14:paraId="1DAD73E5" w14:textId="77777777" w:rsidR="00220258" w:rsidRPr="00AA6505" w:rsidRDefault="00220258" w:rsidP="00220258">
      <w:pPr>
        <w:numPr>
          <w:ilvl w:val="0"/>
          <w:numId w:val="25"/>
        </w:numPr>
        <w:tabs>
          <w:tab w:val="clear" w:pos="720"/>
          <w:tab w:val="num" w:pos="1647"/>
        </w:tabs>
        <w:spacing w:after="0" w:line="240" w:lineRule="auto"/>
        <w:ind w:left="1287"/>
        <w:rPr>
          <w:lang w:eastAsia="x-none"/>
        </w:rPr>
      </w:pPr>
      <w:r w:rsidRPr="00AA6505">
        <w:rPr>
          <w:lang w:eastAsia="x-none"/>
        </w:rPr>
        <w:t>Each option is an independent UE capability</w:t>
      </w:r>
    </w:p>
    <w:p w14:paraId="2243D1D1" w14:textId="77777777" w:rsidR="00220258" w:rsidRPr="009A70A4" w:rsidRDefault="00220258" w:rsidP="00220258">
      <w:pPr>
        <w:numPr>
          <w:ilvl w:val="0"/>
          <w:numId w:val="25"/>
        </w:numPr>
        <w:tabs>
          <w:tab w:val="clear" w:pos="720"/>
          <w:tab w:val="num" w:pos="1647"/>
        </w:tabs>
        <w:spacing w:after="0" w:line="240" w:lineRule="auto"/>
        <w:ind w:left="1287"/>
        <w:rPr>
          <w:lang w:eastAsia="x-none"/>
        </w:rPr>
      </w:pPr>
      <w:r w:rsidRPr="00AA6505">
        <w:rPr>
          <w:lang w:eastAsia="x-none"/>
        </w:rPr>
        <w:t>On top of this, Release-14 configuration applies to each carrier individually</w:t>
      </w:r>
    </w:p>
    <w:p w14:paraId="1ED4F1B1" w14:textId="77777777" w:rsidR="00220258" w:rsidRPr="00AA6505" w:rsidRDefault="00220258" w:rsidP="00220258">
      <w:pPr>
        <w:numPr>
          <w:ilvl w:val="0"/>
          <w:numId w:val="25"/>
        </w:numPr>
        <w:tabs>
          <w:tab w:val="clear" w:pos="720"/>
          <w:tab w:val="num" w:pos="1647"/>
        </w:tabs>
        <w:spacing w:after="0" w:line="240" w:lineRule="auto"/>
        <w:ind w:left="1287"/>
        <w:rPr>
          <w:lang w:eastAsia="x-none"/>
        </w:rPr>
      </w:pPr>
      <w:r>
        <w:rPr>
          <w:lang w:eastAsia="x-none"/>
        </w:rPr>
        <w:lastRenderedPageBreak/>
        <w:t xml:space="preserve">After conclusion on the above FFS point, consider whether it is possible to downselect between the two options. </w:t>
      </w:r>
    </w:p>
    <w:p w14:paraId="3DFDC0C8" w14:textId="238B3E3A" w:rsidR="00220258" w:rsidRDefault="00220258" w:rsidP="00220258">
      <w:pPr>
        <w:spacing w:before="240"/>
        <w:rPr>
          <w:rFonts w:ascii="Arial" w:hAnsi="Arial" w:cs="Arial"/>
          <w:lang w:eastAsia="ja-JP"/>
        </w:rPr>
      </w:pPr>
      <w:r>
        <w:rPr>
          <w:rFonts w:ascii="Arial" w:hAnsi="Arial" w:cs="Arial"/>
          <w:lang w:eastAsia="ja-JP"/>
        </w:rPr>
        <w:t>RAN1#92bis</w:t>
      </w:r>
    </w:p>
    <w:p w14:paraId="1970A526" w14:textId="77777777" w:rsidR="00220258" w:rsidRPr="001A4176" w:rsidRDefault="00220258" w:rsidP="00220258">
      <w:pPr>
        <w:ind w:left="567"/>
        <w:rPr>
          <w:b/>
          <w:lang w:eastAsia="x-none"/>
        </w:rPr>
      </w:pPr>
      <w:bookmarkStart w:id="15" w:name="_Hlk512503622"/>
      <w:r w:rsidRPr="001A4176">
        <w:rPr>
          <w:b/>
          <w:highlight w:val="green"/>
          <w:lang w:eastAsia="x-none"/>
        </w:rPr>
        <w:t>Agreement</w:t>
      </w:r>
    </w:p>
    <w:p w14:paraId="117C6DD0" w14:textId="77777777" w:rsidR="00220258" w:rsidRPr="009B640F" w:rsidRDefault="00220258" w:rsidP="00220258">
      <w:pPr>
        <w:numPr>
          <w:ilvl w:val="0"/>
          <w:numId w:val="23"/>
        </w:numPr>
        <w:spacing w:after="0" w:line="240" w:lineRule="auto"/>
        <w:ind w:left="1287"/>
      </w:pPr>
      <w:r w:rsidRPr="009B640F">
        <w:t>For UEs operating with CA</w:t>
      </w:r>
    </w:p>
    <w:p w14:paraId="6D8D7138" w14:textId="77777777" w:rsidR="00220258" w:rsidRPr="009B640F" w:rsidRDefault="00220258" w:rsidP="00220258">
      <w:pPr>
        <w:numPr>
          <w:ilvl w:val="1"/>
          <w:numId w:val="23"/>
        </w:numPr>
        <w:spacing w:after="0" w:line="240" w:lineRule="auto"/>
        <w:ind w:left="2007"/>
      </w:pPr>
      <w:r w:rsidRPr="009B640F">
        <w:t>RAN1 assumes a UE may be configured a non-synchronization carrier by defining the location of the SLSS resources and by configuring the UE to not transmit SLSS on that carrier.</w:t>
      </w:r>
    </w:p>
    <w:p w14:paraId="663D5512" w14:textId="77777777" w:rsidR="00220258" w:rsidRPr="009B640F" w:rsidRDefault="00220258" w:rsidP="00220258">
      <w:pPr>
        <w:numPr>
          <w:ilvl w:val="2"/>
          <w:numId w:val="23"/>
        </w:numPr>
        <w:overflowPunct w:val="0"/>
        <w:adjustRightInd w:val="0"/>
        <w:spacing w:after="0" w:line="240" w:lineRule="auto"/>
        <w:ind w:left="2727"/>
        <w:textAlignment w:val="baseline"/>
      </w:pPr>
      <w:r w:rsidRPr="009B640F">
        <w:t xml:space="preserve">Rel. 14 RRC signalling is not sufficient. </w:t>
      </w:r>
    </w:p>
    <w:p w14:paraId="59F58AC0" w14:textId="77777777" w:rsidR="00220258" w:rsidRPr="009B640F" w:rsidRDefault="00220258" w:rsidP="00220258">
      <w:pPr>
        <w:numPr>
          <w:ilvl w:val="2"/>
          <w:numId w:val="23"/>
        </w:numPr>
        <w:overflowPunct w:val="0"/>
        <w:adjustRightInd w:val="0"/>
        <w:spacing w:after="0" w:line="240" w:lineRule="auto"/>
        <w:ind w:left="2727"/>
        <w:textAlignment w:val="baseline"/>
      </w:pPr>
      <w:r w:rsidRPr="009B640F">
        <w:t xml:space="preserve">Include an RRC parameter to introduce such mechanism. </w:t>
      </w:r>
    </w:p>
    <w:p w14:paraId="3BD8C137" w14:textId="77777777" w:rsidR="00220258" w:rsidRPr="009B640F" w:rsidRDefault="00220258" w:rsidP="00220258">
      <w:pPr>
        <w:numPr>
          <w:ilvl w:val="3"/>
          <w:numId w:val="23"/>
        </w:numPr>
        <w:overflowPunct w:val="0"/>
        <w:adjustRightInd w:val="0"/>
        <w:spacing w:after="0" w:line="240" w:lineRule="auto"/>
        <w:ind w:left="3447"/>
        <w:textAlignment w:val="baseline"/>
      </w:pPr>
      <w:r w:rsidRPr="009B640F">
        <w:t xml:space="preserve">A Rel.15 UE using the carrier without CA does not apply this parameter. </w:t>
      </w:r>
    </w:p>
    <w:p w14:paraId="0579302E" w14:textId="77777777" w:rsidR="00220258" w:rsidRPr="009B640F" w:rsidRDefault="00220258" w:rsidP="00220258">
      <w:pPr>
        <w:numPr>
          <w:ilvl w:val="3"/>
          <w:numId w:val="23"/>
        </w:numPr>
        <w:overflowPunct w:val="0"/>
        <w:adjustRightInd w:val="0"/>
        <w:spacing w:after="0" w:line="240" w:lineRule="auto"/>
        <w:ind w:left="3447"/>
        <w:textAlignment w:val="baseline"/>
      </w:pPr>
      <w:r w:rsidRPr="009B640F">
        <w:t xml:space="preserve">It is up to RAN2 to design the signalling to support this feature </w:t>
      </w:r>
    </w:p>
    <w:bookmarkEnd w:id="15"/>
    <w:p w14:paraId="6B9E6A88" w14:textId="77777777" w:rsidR="00220258" w:rsidRPr="001A4176" w:rsidRDefault="00220258" w:rsidP="00220258">
      <w:pPr>
        <w:spacing w:before="240"/>
        <w:ind w:left="567"/>
        <w:rPr>
          <w:b/>
          <w:lang w:eastAsia="x-none"/>
        </w:rPr>
      </w:pPr>
      <w:r w:rsidRPr="001A4176">
        <w:rPr>
          <w:b/>
          <w:highlight w:val="green"/>
          <w:lang w:eastAsia="x-none"/>
        </w:rPr>
        <w:t>Agreement</w:t>
      </w:r>
    </w:p>
    <w:p w14:paraId="3769E722" w14:textId="77777777" w:rsidR="00220258" w:rsidRPr="00D139B8" w:rsidRDefault="00220258" w:rsidP="00220258">
      <w:pPr>
        <w:ind w:left="567"/>
        <w:rPr>
          <w:lang w:eastAsia="x-none"/>
        </w:rPr>
      </w:pPr>
      <w:r w:rsidRPr="00D139B8">
        <w:rPr>
          <w:lang w:eastAsia="x-none"/>
        </w:rPr>
        <w:t>The working assumption from RAN1#92 is confirmed with following corrections</w:t>
      </w:r>
    </w:p>
    <w:p w14:paraId="74D4C36A" w14:textId="77777777" w:rsidR="00220258" w:rsidRPr="00D139B8" w:rsidRDefault="00220258" w:rsidP="00220258">
      <w:pPr>
        <w:numPr>
          <w:ilvl w:val="0"/>
          <w:numId w:val="25"/>
        </w:numPr>
        <w:tabs>
          <w:tab w:val="clear" w:pos="720"/>
          <w:tab w:val="num" w:pos="2007"/>
        </w:tabs>
        <w:spacing w:after="0" w:line="240" w:lineRule="auto"/>
        <w:ind w:left="1287"/>
      </w:pPr>
      <w:r w:rsidRPr="00D139B8">
        <w:t>The UE is configured one of the following options based on UE capability:</w:t>
      </w:r>
    </w:p>
    <w:p w14:paraId="21599EF7" w14:textId="77777777" w:rsidR="00220258" w:rsidRPr="00220258" w:rsidRDefault="00220258" w:rsidP="00220258">
      <w:pPr>
        <w:numPr>
          <w:ilvl w:val="0"/>
          <w:numId w:val="35"/>
        </w:numPr>
        <w:spacing w:after="0" w:line="240" w:lineRule="auto"/>
      </w:pPr>
      <w:r w:rsidRPr="00220258">
        <w:t>SLSS is transmitted (based on Rel-14 procedure) on selected sync carrier from Set-B</w:t>
      </w:r>
    </w:p>
    <w:p w14:paraId="06341B1D" w14:textId="77777777" w:rsidR="00220258" w:rsidRPr="00220258" w:rsidRDefault="00220258" w:rsidP="00220258">
      <w:pPr>
        <w:numPr>
          <w:ilvl w:val="0"/>
          <w:numId w:val="35"/>
        </w:numPr>
        <w:tabs>
          <w:tab w:val="num" w:pos="2727"/>
        </w:tabs>
        <w:spacing w:after="0" w:line="240" w:lineRule="auto"/>
      </w:pPr>
      <w:r w:rsidRPr="00220258">
        <w:t>SLSS is transmitted on all carriers from Set-B</w:t>
      </w:r>
    </w:p>
    <w:p w14:paraId="1800CF8D" w14:textId="77777777" w:rsidR="00220258" w:rsidRPr="00D139B8" w:rsidRDefault="00220258" w:rsidP="00220258">
      <w:pPr>
        <w:numPr>
          <w:ilvl w:val="0"/>
          <w:numId w:val="25"/>
        </w:numPr>
        <w:tabs>
          <w:tab w:val="clear" w:pos="720"/>
          <w:tab w:val="num" w:pos="207"/>
        </w:tabs>
        <w:spacing w:after="0" w:line="240" w:lineRule="auto"/>
        <w:ind w:left="1287"/>
      </w:pPr>
      <w:r w:rsidRPr="00D139B8">
        <w:t xml:space="preserve">Each option is an independent UE capability </w:t>
      </w:r>
    </w:p>
    <w:p w14:paraId="7227078C" w14:textId="77777777" w:rsidR="00220258" w:rsidRPr="00D139B8" w:rsidRDefault="00220258" w:rsidP="00220258">
      <w:pPr>
        <w:numPr>
          <w:ilvl w:val="0"/>
          <w:numId w:val="25"/>
        </w:numPr>
        <w:tabs>
          <w:tab w:val="clear" w:pos="720"/>
          <w:tab w:val="num" w:pos="207"/>
        </w:tabs>
        <w:spacing w:after="0" w:line="240" w:lineRule="auto"/>
        <w:ind w:left="1287"/>
      </w:pPr>
      <w:r w:rsidRPr="00D139B8">
        <w:t>On top of this, Release-14 configuration applies to each carrier individually</w:t>
      </w:r>
    </w:p>
    <w:p w14:paraId="10E8EE1A" w14:textId="77777777" w:rsidR="00220258" w:rsidRPr="00D139B8" w:rsidRDefault="00220258" w:rsidP="00220258">
      <w:pPr>
        <w:spacing w:before="240"/>
        <w:ind w:left="567"/>
        <w:rPr>
          <w:b/>
          <w:lang w:eastAsia="x-none"/>
        </w:rPr>
      </w:pPr>
      <w:r w:rsidRPr="00D139B8">
        <w:rPr>
          <w:b/>
          <w:highlight w:val="green"/>
          <w:lang w:eastAsia="x-none"/>
        </w:rPr>
        <w:t>Agreement</w:t>
      </w:r>
    </w:p>
    <w:p w14:paraId="530303E8" w14:textId="77777777" w:rsidR="00220258" w:rsidRDefault="00220258" w:rsidP="00220258">
      <w:pPr>
        <w:numPr>
          <w:ilvl w:val="0"/>
          <w:numId w:val="24"/>
        </w:numPr>
        <w:overflowPunct w:val="0"/>
        <w:adjustRightInd w:val="0"/>
        <w:spacing w:after="180" w:line="240" w:lineRule="auto"/>
        <w:ind w:left="1287"/>
        <w:textAlignment w:val="baseline"/>
      </w:pPr>
      <w:r>
        <w:t>For the case of limited TX capabilities, for UE SLSS transmission, it is up to UE implementation on which synchronization carrier(s) from Set B UE transmits SLSS</w:t>
      </w:r>
    </w:p>
    <w:p w14:paraId="35B9B86B" w14:textId="77777777" w:rsidR="00220258" w:rsidRDefault="00220258" w:rsidP="00220258">
      <w:pPr>
        <w:numPr>
          <w:ilvl w:val="1"/>
          <w:numId w:val="24"/>
        </w:numPr>
        <w:overflowPunct w:val="0"/>
        <w:adjustRightInd w:val="0"/>
        <w:spacing w:after="180" w:line="240" w:lineRule="auto"/>
        <w:ind w:left="2007"/>
        <w:textAlignment w:val="baseline"/>
      </w:pPr>
      <w:r>
        <w:t xml:space="preserve">The above applies for the case when </w:t>
      </w:r>
      <w:r w:rsidRPr="00D139B8">
        <w:t>SLSS is transmitted on all carriers from Set-B</w:t>
      </w:r>
    </w:p>
    <w:p w14:paraId="5096D867" w14:textId="77777777" w:rsidR="00220258" w:rsidRPr="00F04C25" w:rsidRDefault="00220258" w:rsidP="00220258">
      <w:pPr>
        <w:ind w:left="567"/>
        <w:rPr>
          <w:b/>
        </w:rPr>
      </w:pPr>
      <w:r w:rsidRPr="00F04C25">
        <w:rPr>
          <w:b/>
          <w:highlight w:val="green"/>
        </w:rPr>
        <w:t>Agreement</w:t>
      </w:r>
    </w:p>
    <w:p w14:paraId="45F8C621" w14:textId="77777777" w:rsidR="00220258" w:rsidRPr="00F04C25" w:rsidRDefault="00220258" w:rsidP="00220258">
      <w:pPr>
        <w:numPr>
          <w:ilvl w:val="0"/>
          <w:numId w:val="24"/>
        </w:numPr>
        <w:overflowPunct w:val="0"/>
        <w:adjustRightInd w:val="0"/>
        <w:spacing w:after="180" w:line="240" w:lineRule="auto"/>
        <w:ind w:left="1287"/>
        <w:textAlignment w:val="baseline"/>
      </w:pPr>
      <w:r w:rsidRPr="00F04C25">
        <w:t>PSBCH content other than bandwidth, TDD configuration, reserved bits are generated following the Rel. 14 procedure following the selected synchronization reference.</w:t>
      </w:r>
    </w:p>
    <w:p w14:paraId="73D5AA3D" w14:textId="77777777" w:rsidR="00220258" w:rsidRPr="00F04C25" w:rsidRDefault="00220258" w:rsidP="00220258">
      <w:pPr>
        <w:numPr>
          <w:ilvl w:val="1"/>
          <w:numId w:val="24"/>
        </w:numPr>
        <w:overflowPunct w:val="0"/>
        <w:adjustRightInd w:val="0"/>
        <w:spacing w:after="180" w:line="240" w:lineRule="auto"/>
        <w:ind w:left="2007"/>
        <w:textAlignment w:val="baseline"/>
      </w:pPr>
      <w:r w:rsidRPr="00F04C25">
        <w:t>Note if there is an issue with reserved bits, it will be addressed in RAN1#93</w:t>
      </w:r>
    </w:p>
    <w:p w14:paraId="66F0E696" w14:textId="77777777" w:rsidR="00220258" w:rsidRPr="00F04C25" w:rsidRDefault="00220258" w:rsidP="00220258">
      <w:pPr>
        <w:numPr>
          <w:ilvl w:val="0"/>
          <w:numId w:val="24"/>
        </w:numPr>
        <w:overflowPunct w:val="0"/>
        <w:adjustRightInd w:val="0"/>
        <w:spacing w:after="180" w:line="240" w:lineRule="auto"/>
        <w:ind w:left="1287"/>
        <w:textAlignment w:val="baseline"/>
      </w:pPr>
      <w:r w:rsidRPr="00F04C25">
        <w:t>SLSS ID is derived from the selected synchronization source.</w:t>
      </w:r>
    </w:p>
    <w:p w14:paraId="7E48124E" w14:textId="77777777" w:rsidR="00220258" w:rsidRPr="00F04C25" w:rsidRDefault="00220258" w:rsidP="00220258">
      <w:pPr>
        <w:ind w:left="567"/>
        <w:rPr>
          <w:b/>
        </w:rPr>
      </w:pPr>
      <w:r w:rsidRPr="00F04C25">
        <w:rPr>
          <w:b/>
          <w:highlight w:val="green"/>
        </w:rPr>
        <w:t>Agreement</w:t>
      </w:r>
    </w:p>
    <w:p w14:paraId="2DF327CF" w14:textId="77777777" w:rsidR="00220258" w:rsidRDefault="00220258" w:rsidP="00220258">
      <w:pPr>
        <w:numPr>
          <w:ilvl w:val="0"/>
          <w:numId w:val="27"/>
        </w:numPr>
        <w:overflowPunct w:val="0"/>
        <w:adjustRightInd w:val="0"/>
        <w:spacing w:after="180" w:line="240" w:lineRule="auto"/>
        <w:ind w:left="1287"/>
        <w:textAlignment w:val="baseline"/>
      </w:pPr>
      <w:r>
        <w:t>When synchronization is lost, synchronization carrier reselection is up to UE implementation.</w:t>
      </w:r>
    </w:p>
    <w:p w14:paraId="2FDF0286" w14:textId="77777777" w:rsidR="00220258" w:rsidRPr="00220258" w:rsidRDefault="00220258" w:rsidP="00220258">
      <w:pPr>
        <w:spacing w:before="240"/>
        <w:rPr>
          <w:rFonts w:ascii="Arial" w:hAnsi="Arial" w:cs="Arial"/>
          <w:lang w:eastAsia="ja-JP"/>
        </w:rPr>
      </w:pPr>
    </w:p>
    <w:sectPr w:rsidR="00220258" w:rsidRPr="0022025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08381" w14:textId="77777777" w:rsidR="00A440C1" w:rsidRDefault="00A440C1">
      <w:r>
        <w:separator/>
      </w:r>
    </w:p>
  </w:endnote>
  <w:endnote w:type="continuationSeparator" w:id="0">
    <w:p w14:paraId="08B400BD" w14:textId="77777777" w:rsidR="00A440C1" w:rsidRDefault="00A4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60B8F" w14:textId="77777777" w:rsidR="00A440C1" w:rsidRDefault="00A440C1">
      <w:r>
        <w:separator/>
      </w:r>
    </w:p>
  </w:footnote>
  <w:footnote w:type="continuationSeparator" w:id="0">
    <w:p w14:paraId="25263870" w14:textId="77777777" w:rsidR="00A440C1" w:rsidRDefault="00A44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9"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523936"/>
    <w:multiLevelType w:val="hybridMultilevel"/>
    <w:tmpl w:val="31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ED0A22A8"/>
    <w:lvl w:ilvl="0" w:tplc="123CE8A0">
      <w:start w:val="1"/>
      <w:numFmt w:val="decimal"/>
      <w:pStyle w:val="Proposal"/>
      <w:lvlText w:val="Proposal %1"/>
      <w:lvlJc w:val="left"/>
      <w:pPr>
        <w:tabs>
          <w:tab w:val="num" w:pos="1304"/>
        </w:tabs>
        <w:ind w:left="1304" w:hanging="1304"/>
      </w:pPr>
      <w:rPr>
        <w:rFonts w:hint="default"/>
        <w:lang w:val="x-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0B7353"/>
    <w:multiLevelType w:val="hybridMultilevel"/>
    <w:tmpl w:val="2E04C428"/>
    <w:lvl w:ilvl="0" w:tplc="0809000F">
      <w:start w:val="1"/>
      <w:numFmt w:val="decimal"/>
      <w:lvlText w:val="%1."/>
      <w:lvlJc w:val="left"/>
      <w:pPr>
        <w:tabs>
          <w:tab w:val="num" w:pos="2007"/>
        </w:tabs>
        <w:ind w:left="200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A4D5F39"/>
    <w:multiLevelType w:val="hybridMultilevel"/>
    <w:tmpl w:val="C5CCCA8C"/>
    <w:lvl w:ilvl="0" w:tplc="0809000F">
      <w:start w:val="1"/>
      <w:numFmt w:val="decimal"/>
      <w:lvlText w:val="%1."/>
      <w:lvlJc w:val="left"/>
      <w:pPr>
        <w:tabs>
          <w:tab w:val="num" w:pos="2007"/>
        </w:tabs>
        <w:ind w:left="200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BB6FDB"/>
    <w:multiLevelType w:val="hybridMultilevel"/>
    <w:tmpl w:val="17F8F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20"/>
  </w:num>
  <w:num w:numId="5">
    <w:abstractNumId w:val="15"/>
  </w:num>
  <w:num w:numId="6">
    <w:abstractNumId w:val="23"/>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29"/>
  </w:num>
  <w:num w:numId="17">
    <w:abstractNumId w:val="11"/>
  </w:num>
  <w:num w:numId="18">
    <w:abstractNumId w:val="12"/>
  </w:num>
  <w:num w:numId="19">
    <w:abstractNumId w:val="6"/>
  </w:num>
  <w:num w:numId="20">
    <w:abstractNumId w:val="33"/>
  </w:num>
  <w:num w:numId="21">
    <w:abstractNumId w:val="17"/>
  </w:num>
  <w:num w:numId="22">
    <w:abstractNumId w:val="32"/>
  </w:num>
  <w:num w:numId="23">
    <w:abstractNumId w:val="21"/>
  </w:num>
  <w:num w:numId="24">
    <w:abstractNumId w:val="9"/>
  </w:num>
  <w:num w:numId="25">
    <w:abstractNumId w:val="25"/>
  </w:num>
  <w:num w:numId="26">
    <w:abstractNumId w:val="5"/>
    <w:lvlOverride w:ilvl="0"/>
    <w:lvlOverride w:ilvl="1">
      <w:startOverride w:val="1"/>
    </w:lvlOverride>
    <w:lvlOverride w:ilvl="2"/>
    <w:lvlOverride w:ilvl="3"/>
    <w:lvlOverride w:ilvl="4"/>
    <w:lvlOverride w:ilvl="5"/>
    <w:lvlOverride w:ilvl="6"/>
    <w:lvlOverride w:ilvl="7"/>
    <w:lvlOverride w:ilvl="8"/>
  </w:num>
  <w:num w:numId="27">
    <w:abstractNumId w:val="19"/>
  </w:num>
  <w:num w:numId="28">
    <w:abstractNumId w:val="34"/>
  </w:num>
  <w:num w:numId="29">
    <w:abstractNumId w:val="8"/>
  </w:num>
  <w:num w:numId="30">
    <w:abstractNumId w:val="4"/>
  </w:num>
  <w:num w:numId="31">
    <w:abstractNumId w:val="10"/>
  </w:num>
  <w:num w:numId="32">
    <w:abstractNumId w:val="7"/>
  </w:num>
  <w:num w:numId="33">
    <w:abstractNumId w:val="5"/>
  </w:num>
  <w:num w:numId="34">
    <w:abstractNumId w:val="31"/>
  </w:num>
  <w:num w:numId="35">
    <w:abstractNumId w:val="30"/>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A37"/>
    <w:rsid w:val="0000564C"/>
    <w:rsid w:val="00006446"/>
    <w:rsid w:val="00006896"/>
    <w:rsid w:val="00007CDC"/>
    <w:rsid w:val="00011B28"/>
    <w:rsid w:val="00014F90"/>
    <w:rsid w:val="00015D15"/>
    <w:rsid w:val="0002564D"/>
    <w:rsid w:val="00025ECA"/>
    <w:rsid w:val="000325B8"/>
    <w:rsid w:val="00034C15"/>
    <w:rsid w:val="00036BA1"/>
    <w:rsid w:val="000422E2"/>
    <w:rsid w:val="0004240F"/>
    <w:rsid w:val="00042F22"/>
    <w:rsid w:val="000444EF"/>
    <w:rsid w:val="00052A07"/>
    <w:rsid w:val="000534E3"/>
    <w:rsid w:val="0005606A"/>
    <w:rsid w:val="00057117"/>
    <w:rsid w:val="00061153"/>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4A1"/>
    <w:rsid w:val="00107BA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C59"/>
    <w:rsid w:val="00151E23"/>
    <w:rsid w:val="001526E0"/>
    <w:rsid w:val="001551B5"/>
    <w:rsid w:val="001659C1"/>
    <w:rsid w:val="00171B5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D25"/>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BBD"/>
    <w:rsid w:val="00214DA8"/>
    <w:rsid w:val="00215423"/>
    <w:rsid w:val="002158FA"/>
    <w:rsid w:val="00220258"/>
    <w:rsid w:val="00220600"/>
    <w:rsid w:val="002224DB"/>
    <w:rsid w:val="00223FCB"/>
    <w:rsid w:val="002252C3"/>
    <w:rsid w:val="00225C54"/>
    <w:rsid w:val="002265F3"/>
    <w:rsid w:val="00230765"/>
    <w:rsid w:val="00230D18"/>
    <w:rsid w:val="002318F4"/>
    <w:rsid w:val="002319E4"/>
    <w:rsid w:val="002348A5"/>
    <w:rsid w:val="00235632"/>
    <w:rsid w:val="00235744"/>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EAF"/>
    <w:rsid w:val="00286ACD"/>
    <w:rsid w:val="00287838"/>
    <w:rsid w:val="002907B5"/>
    <w:rsid w:val="00292EB7"/>
    <w:rsid w:val="00293B81"/>
    <w:rsid w:val="00296227"/>
    <w:rsid w:val="00296F44"/>
    <w:rsid w:val="0029777D"/>
    <w:rsid w:val="002A055E"/>
    <w:rsid w:val="002A1D4E"/>
    <w:rsid w:val="002A2869"/>
    <w:rsid w:val="002B24D6"/>
    <w:rsid w:val="002C41E6"/>
    <w:rsid w:val="002D071A"/>
    <w:rsid w:val="002D34B2"/>
    <w:rsid w:val="002D4018"/>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557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617"/>
    <w:rsid w:val="004517AA"/>
    <w:rsid w:val="00452CAC"/>
    <w:rsid w:val="00457565"/>
    <w:rsid w:val="00457B71"/>
    <w:rsid w:val="004669E2"/>
    <w:rsid w:val="00470C31"/>
    <w:rsid w:val="00471DE0"/>
    <w:rsid w:val="004734D0"/>
    <w:rsid w:val="0047556B"/>
    <w:rsid w:val="00477768"/>
    <w:rsid w:val="00492BC5"/>
    <w:rsid w:val="004949E1"/>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38A4"/>
    <w:rsid w:val="004F41E3"/>
    <w:rsid w:val="004F4DA3"/>
    <w:rsid w:val="00506557"/>
    <w:rsid w:val="0050677A"/>
    <w:rsid w:val="005108D8"/>
    <w:rsid w:val="005116F9"/>
    <w:rsid w:val="005153A7"/>
    <w:rsid w:val="005219CF"/>
    <w:rsid w:val="00534B59"/>
    <w:rsid w:val="00536759"/>
    <w:rsid w:val="00537C62"/>
    <w:rsid w:val="005419EF"/>
    <w:rsid w:val="00546970"/>
    <w:rsid w:val="00554E19"/>
    <w:rsid w:val="0056121F"/>
    <w:rsid w:val="00571BA5"/>
    <w:rsid w:val="00572505"/>
    <w:rsid w:val="00582809"/>
    <w:rsid w:val="0058798C"/>
    <w:rsid w:val="005900FA"/>
    <w:rsid w:val="005935A4"/>
    <w:rsid w:val="005948C2"/>
    <w:rsid w:val="00595DCA"/>
    <w:rsid w:val="0059779B"/>
    <w:rsid w:val="005A209A"/>
    <w:rsid w:val="005A662D"/>
    <w:rsid w:val="005B1409"/>
    <w:rsid w:val="005B2663"/>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0C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73"/>
    <w:rsid w:val="006741F2"/>
    <w:rsid w:val="00674CC3"/>
    <w:rsid w:val="00675C72"/>
    <w:rsid w:val="006771F9"/>
    <w:rsid w:val="006776D7"/>
    <w:rsid w:val="006808FB"/>
    <w:rsid w:val="00681003"/>
    <w:rsid w:val="006817C9"/>
    <w:rsid w:val="006818BA"/>
    <w:rsid w:val="00683ECE"/>
    <w:rsid w:val="00694D92"/>
    <w:rsid w:val="00695FC2"/>
    <w:rsid w:val="00696949"/>
    <w:rsid w:val="00697052"/>
    <w:rsid w:val="006A46FB"/>
    <w:rsid w:val="006A5E28"/>
    <w:rsid w:val="006A697B"/>
    <w:rsid w:val="006A7AFF"/>
    <w:rsid w:val="006B1816"/>
    <w:rsid w:val="006B2099"/>
    <w:rsid w:val="006B50CF"/>
    <w:rsid w:val="006B7F57"/>
    <w:rsid w:val="006C03B8"/>
    <w:rsid w:val="006C5EC9"/>
    <w:rsid w:val="006C6059"/>
    <w:rsid w:val="006C7522"/>
    <w:rsid w:val="006D4C7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BD4"/>
    <w:rsid w:val="00726EA6"/>
    <w:rsid w:val="00727208"/>
    <w:rsid w:val="00727680"/>
    <w:rsid w:val="007348B1"/>
    <w:rsid w:val="007362A6"/>
    <w:rsid w:val="00736D7D"/>
    <w:rsid w:val="00740E58"/>
    <w:rsid w:val="007429F9"/>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F19"/>
    <w:rsid w:val="007A43A6"/>
    <w:rsid w:val="007A58A6"/>
    <w:rsid w:val="007B3D2D"/>
    <w:rsid w:val="007B50AE"/>
    <w:rsid w:val="007B51DF"/>
    <w:rsid w:val="007C05DD"/>
    <w:rsid w:val="007C3D18"/>
    <w:rsid w:val="007C4F39"/>
    <w:rsid w:val="007C60BF"/>
    <w:rsid w:val="007C6A07"/>
    <w:rsid w:val="007C75A1"/>
    <w:rsid w:val="007C77A5"/>
    <w:rsid w:val="007D04E5"/>
    <w:rsid w:val="007D5901"/>
    <w:rsid w:val="007D5D06"/>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D4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3A7"/>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2E7"/>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0C1"/>
    <w:rsid w:val="00A45B74"/>
    <w:rsid w:val="00A50775"/>
    <w:rsid w:val="00A52E1D"/>
    <w:rsid w:val="00A61499"/>
    <w:rsid w:val="00A62A77"/>
    <w:rsid w:val="00A63483"/>
    <w:rsid w:val="00A657D7"/>
    <w:rsid w:val="00A660AC"/>
    <w:rsid w:val="00A67E6C"/>
    <w:rsid w:val="00A71B99"/>
    <w:rsid w:val="00A739D0"/>
    <w:rsid w:val="00A761D4"/>
    <w:rsid w:val="00A76478"/>
    <w:rsid w:val="00A77EC4"/>
    <w:rsid w:val="00A85E6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831"/>
    <w:rsid w:val="00B664C7"/>
    <w:rsid w:val="00B739F6"/>
    <w:rsid w:val="00B81A6C"/>
    <w:rsid w:val="00B85DE5"/>
    <w:rsid w:val="00B90F73"/>
    <w:rsid w:val="00B93B59"/>
    <w:rsid w:val="00B9406A"/>
    <w:rsid w:val="00BA2280"/>
    <w:rsid w:val="00BA2A08"/>
    <w:rsid w:val="00BA56D2"/>
    <w:rsid w:val="00BA76E0"/>
    <w:rsid w:val="00BB133B"/>
    <w:rsid w:val="00BB2A25"/>
    <w:rsid w:val="00BB51E9"/>
    <w:rsid w:val="00BC0FDC"/>
    <w:rsid w:val="00BC3053"/>
    <w:rsid w:val="00BC42F2"/>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1B2"/>
    <w:rsid w:val="00C3719D"/>
    <w:rsid w:val="00C37CB2"/>
    <w:rsid w:val="00C473A5"/>
    <w:rsid w:val="00C54995"/>
    <w:rsid w:val="00C54D41"/>
    <w:rsid w:val="00C60783"/>
    <w:rsid w:val="00C64672"/>
    <w:rsid w:val="00C70697"/>
    <w:rsid w:val="00C72093"/>
    <w:rsid w:val="00C72EF4"/>
    <w:rsid w:val="00C744FE"/>
    <w:rsid w:val="00C7577F"/>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0A8"/>
    <w:rsid w:val="00CD1188"/>
    <w:rsid w:val="00CD2ED1"/>
    <w:rsid w:val="00CD337B"/>
    <w:rsid w:val="00CE0424"/>
    <w:rsid w:val="00CE0BF7"/>
    <w:rsid w:val="00CE7561"/>
    <w:rsid w:val="00CF1354"/>
    <w:rsid w:val="00CF289F"/>
    <w:rsid w:val="00CF3B1F"/>
    <w:rsid w:val="00CF3BF6"/>
    <w:rsid w:val="00CF625B"/>
    <w:rsid w:val="00CF687E"/>
    <w:rsid w:val="00CF772E"/>
    <w:rsid w:val="00D0349B"/>
    <w:rsid w:val="00D10249"/>
    <w:rsid w:val="00D115C3"/>
    <w:rsid w:val="00D11897"/>
    <w:rsid w:val="00D13135"/>
    <w:rsid w:val="00D13E4E"/>
    <w:rsid w:val="00D239A7"/>
    <w:rsid w:val="00D23F47"/>
    <w:rsid w:val="00D3176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7CD"/>
    <w:rsid w:val="00D823C6"/>
    <w:rsid w:val="00D8327F"/>
    <w:rsid w:val="00D83FDC"/>
    <w:rsid w:val="00D844FD"/>
    <w:rsid w:val="00D84C12"/>
    <w:rsid w:val="00D86CA3"/>
    <w:rsid w:val="00D871CE"/>
    <w:rsid w:val="00D9196D"/>
    <w:rsid w:val="00D92982"/>
    <w:rsid w:val="00DA305E"/>
    <w:rsid w:val="00DA5417"/>
    <w:rsid w:val="00DA56E8"/>
    <w:rsid w:val="00DA6167"/>
    <w:rsid w:val="00DB0A9F"/>
    <w:rsid w:val="00DB0EED"/>
    <w:rsid w:val="00DB377D"/>
    <w:rsid w:val="00DB6AC4"/>
    <w:rsid w:val="00DC2D36"/>
    <w:rsid w:val="00DC53EF"/>
    <w:rsid w:val="00DE5608"/>
    <w:rsid w:val="00DE58D0"/>
    <w:rsid w:val="00DE6023"/>
    <w:rsid w:val="00DE654F"/>
    <w:rsid w:val="00DE6A00"/>
    <w:rsid w:val="00DF0B6E"/>
    <w:rsid w:val="00DF15E0"/>
    <w:rsid w:val="00DF1B01"/>
    <w:rsid w:val="00DF37A0"/>
    <w:rsid w:val="00E110E7"/>
    <w:rsid w:val="00E11B20"/>
    <w:rsid w:val="00E159B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871"/>
    <w:rsid w:val="00E72EFC"/>
    <w:rsid w:val="00E758EC"/>
    <w:rsid w:val="00E8234C"/>
    <w:rsid w:val="00E83AA9"/>
    <w:rsid w:val="00E85928"/>
    <w:rsid w:val="00E87822"/>
    <w:rsid w:val="00E90395"/>
    <w:rsid w:val="00E90E49"/>
    <w:rsid w:val="00E917F9"/>
    <w:rsid w:val="00E9291C"/>
    <w:rsid w:val="00E93FFE"/>
    <w:rsid w:val="00E94F8A"/>
    <w:rsid w:val="00EA09AA"/>
    <w:rsid w:val="00EA7A41"/>
    <w:rsid w:val="00EB077B"/>
    <w:rsid w:val="00EB4EA2"/>
    <w:rsid w:val="00EC24D5"/>
    <w:rsid w:val="00EC27C6"/>
    <w:rsid w:val="00EC3565"/>
    <w:rsid w:val="00EC4033"/>
    <w:rsid w:val="00EC4207"/>
    <w:rsid w:val="00EC5653"/>
    <w:rsid w:val="00EC71CE"/>
    <w:rsid w:val="00ED1006"/>
    <w:rsid w:val="00ED7338"/>
    <w:rsid w:val="00EF18FE"/>
    <w:rsid w:val="00EF5787"/>
    <w:rsid w:val="00EF60D0"/>
    <w:rsid w:val="00F0528D"/>
    <w:rsid w:val="00F06C67"/>
    <w:rsid w:val="00F06DFD"/>
    <w:rsid w:val="00F071D1"/>
    <w:rsid w:val="00F07533"/>
    <w:rsid w:val="00F10629"/>
    <w:rsid w:val="00F10816"/>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11B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311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1B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90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3/Docs/R1-1806263.zip" TargetMode="External"/><Relationship Id="rId13" Type="http://schemas.openxmlformats.org/officeDocument/2006/relationships/hyperlink" Target="http://www.3gpp.org/ftp/TSG_RAN/WG1_RL1/TSGR1_93/Docs/R1-1806995.zip" TargetMode="External"/><Relationship Id="rId3" Type="http://schemas.openxmlformats.org/officeDocument/2006/relationships/settings" Target="settings.xml"/><Relationship Id="rId7" Type="http://schemas.openxmlformats.org/officeDocument/2006/relationships/hyperlink" Target="http://www.3gpp.org/ftp/TSG_RAN/WG1_RL1/TSGR1_93/Docs/R1-1806146.zip" TargetMode="External"/><Relationship Id="rId12" Type="http://schemas.openxmlformats.org/officeDocument/2006/relationships/hyperlink" Target="http://www.3gpp.org/ftp/TSG_RAN/WG1_RL1/TSGR1_93/Docs/R1-1806817.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3/Docs/R1-1806678.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1_RL1/TSGR1_93/Docs/R1-1806582.zip" TargetMode="External"/><Relationship Id="rId4" Type="http://schemas.openxmlformats.org/officeDocument/2006/relationships/webSettings" Target="webSettings.xml"/><Relationship Id="rId9" Type="http://schemas.openxmlformats.org/officeDocument/2006/relationships/hyperlink" Target="http://www.3gpp.org/ftp/TSG_RAN/WG1_RL1/TSGR1_93/Docs/R1-1806482.zip" TargetMode="External"/><Relationship Id="rId14" Type="http://schemas.openxmlformats.org/officeDocument/2006/relationships/hyperlink" Target="http://www.3gpp.org/ftp/TSG_RAN/WG1_RL1/TSGR1_93/Docs/R1-18072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1710</Words>
  <Characters>9750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2018-05-21T08:18:00Z</dcterms:created>
  <dcterms:modified xsi:type="dcterms:W3CDTF">2018-05-21T23:08:00Z</dcterms:modified>
  <cp:category/>
</cp:coreProperties>
</file>